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jpeg" ContentType="image/jpeg"/>
  <Override PartName="/word/fontTable.xml" ContentType="application/vnd.openxmlformats-officedocument.wordprocessingml.fontTable+xml"/>
  <Override PartName="/word/charts/chart53.xml" ContentType="application/vnd.openxmlformats-officedocument.drawingml.chart+xml"/>
  <Override PartName="/word/charts/chart9.xml" ContentType="application/vnd.openxmlformats-officedocument.drawingml.chart+xml"/>
  <Override PartName="/word/charts/chart1.xml" ContentType="application/vnd.openxmlformats-officedocument.drawingml.chart+xml"/>
  <Override PartName="/word/charts/chart35.xml" ContentType="application/vnd.openxmlformats-officedocument.drawingml.chart+xml"/>
  <Override PartName="/word/charts/chart2.xml" ContentType="application/vnd.openxmlformats-officedocument.drawingml.chart+xml"/>
  <Override PartName="/word/charts/chart36.xml" ContentType="application/vnd.openxmlformats-officedocument.drawingml.chart+xml"/>
  <Override PartName="/word/charts/chart3.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38.xml" ContentType="application/vnd.openxmlformats-officedocument.drawingml.chart+xml"/>
  <Override PartName="/word/charts/chart5.xml" ContentType="application/vnd.openxmlformats-officedocument.drawingml.chart+xml"/>
  <Override PartName="/word/charts/chart39.xml" ContentType="application/vnd.openxmlformats-officedocument.drawingml.chart+xml"/>
  <Override PartName="/word/charts/chart50.xml" ContentType="application/vnd.openxmlformats-officedocument.drawingml.chart+xml"/>
  <Override PartName="/word/charts/chart6.xml" ContentType="application/vnd.openxmlformats-officedocument.drawingml.chart+xml"/>
  <Override PartName="/word/charts/chart51.xml" ContentType="application/vnd.openxmlformats-officedocument.drawingml.chart+xml"/>
  <Override PartName="/word/charts/chart7.xml" ContentType="application/vnd.openxmlformats-officedocument.drawingml.chart+xml"/>
  <Override PartName="/word/charts/chart52.xml" ContentType="application/vnd.openxmlformats-officedocument.drawingml.chart+xml"/>
  <Override PartName="/word/charts/chart8.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lineRule="auto" w:line="240" w:before="0" w:after="0"/>
        <w:jc w:val="both"/>
        <w:rPr>
          <w:b/>
          <w:b/>
          <w:sz w:val="24"/>
          <w:szCs w:val="24"/>
        </w:rPr>
      </w:pPr>
      <w:r>
        <w:rPr/>
        <w:drawing>
          <wp:inline distT="0" distB="0" distL="0" distR="0">
            <wp:extent cx="2002790" cy="502920"/>
            <wp:effectExtent l="0" t="0" r="0" b="0"/>
            <wp:docPr id="1" name="Imagem 1" descr="SINDPD-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INDPD-PE"/>
                    <pic:cNvPicPr>
                      <a:picLocks noChangeAspect="1" noChangeArrowheads="1"/>
                    </pic:cNvPicPr>
                  </pic:nvPicPr>
                  <pic:blipFill>
                    <a:blip r:embed="rId2"/>
                    <a:stretch>
                      <a:fillRect/>
                    </a:stretch>
                  </pic:blipFill>
                  <pic:spPr bwMode="auto">
                    <a:xfrm>
                      <a:off x="0" y="0"/>
                      <a:ext cx="2002790" cy="502920"/>
                    </a:xfrm>
                    <a:prstGeom prst="rect">
                      <a:avLst/>
                    </a:prstGeom>
                  </pic:spPr>
                </pic:pic>
              </a:graphicData>
            </a:graphic>
          </wp:inline>
        </w:drawing>
      </w:r>
    </w:p>
    <w:p>
      <w:pPr>
        <w:pStyle w:val="Normal"/>
        <w:jc w:val="center"/>
        <w:rPr>
          <w:rFonts w:ascii="AR BLANCA" w:hAnsi="AR BLANCA"/>
          <w:b/>
          <w:b/>
          <w:sz w:val="32"/>
          <w:szCs w:val="32"/>
        </w:rPr>
      </w:pPr>
      <w:r>
        <w:rPr>
          <w:rFonts w:ascii="AR BLANCA" w:hAnsi="AR BLANCA"/>
          <w:b/>
          <w:sz w:val="32"/>
          <w:szCs w:val="32"/>
        </w:rPr>
        <w:t>PESQUISA SOBRE PERFIL DOS/AS TRABALHADORES/AS DE TI DA REGIÃO METROPOLITANA DO RECIFE - 2017</w:t>
      </w:r>
    </w:p>
    <w:p>
      <w:pPr>
        <w:pStyle w:val="Normal"/>
        <w:jc w:val="center"/>
        <w:rPr>
          <w:rFonts w:ascii="Arial Black" w:hAnsi="Arial Black"/>
          <w:b/>
          <w:b/>
          <w:color w:val="000000" w:themeColor="text1"/>
          <w:sz w:val="28"/>
          <w:szCs w:val="28"/>
        </w:rPr>
      </w:pPr>
      <w:r>
        <w:rPr>
          <w:rFonts w:ascii="Arial Black" w:hAnsi="Arial Black"/>
          <w:b/>
          <w:color w:val="000000" w:themeColor="text1"/>
          <w:sz w:val="28"/>
          <w:szCs w:val="28"/>
        </w:rPr>
        <w:t>RELATÓRIO FINAL</w:t>
      </w:r>
    </w:p>
    <w:p>
      <w:pPr>
        <w:pStyle w:val="Normal"/>
        <w:jc w:val="center"/>
        <w:rPr>
          <w:b/>
          <w:b/>
          <w:color w:val="000000" w:themeColor="text1"/>
          <w:sz w:val="24"/>
          <w:szCs w:val="24"/>
        </w:rPr>
      </w:pPr>
      <w:r>
        <w:rPr>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Realização:</w:t>
      </w:r>
    </w:p>
    <w:p>
      <w:pPr>
        <w:pStyle w:val="Normal"/>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 xml:space="preserve">Sindicato dos Trabalhadores em Empresas de Informática, Processamento de Dados e Tecnologia da Informação de Pernambuco - SINDPD/PE </w:t>
      </w:r>
    </w:p>
    <w:p>
      <w:pPr>
        <w:pStyle w:val="Normal"/>
        <w:jc w:val="both"/>
        <w:rPr>
          <w:rFonts w:ascii="Times New Roman" w:hAnsi="Times New Roman" w:cs="Times New Roman"/>
          <w:b/>
          <w:b/>
          <w:color w:val="333333"/>
          <w:sz w:val="24"/>
          <w:szCs w:val="24"/>
          <w:highlight w:val="white"/>
        </w:rPr>
      </w:pPr>
      <w:r>
        <w:rPr>
          <w:rFonts w:cs="Times New Roman" w:ascii="Times New Roman" w:hAnsi="Times New Roman"/>
          <w:b/>
          <w:color w:val="333333"/>
          <w:sz w:val="24"/>
          <w:szCs w:val="24"/>
          <w:shd w:fill="FFFFFF" w:val="clear"/>
        </w:rPr>
        <w:t>Coordenador Técnico:</w:t>
      </w:r>
    </w:p>
    <w:p>
      <w:pPr>
        <w:pStyle w:val="Normal"/>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Roberto Véras de Oliveira (Professor do Departamento de Ciências Sociais/Universidade Federal da Paraíba – DCS/UFPB)</w:t>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Estatístico Responsável:</w:t>
      </w:r>
    </w:p>
    <w:p>
      <w:pPr>
        <w:pStyle w:val="Normal"/>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Lucas Gallindo</w:t>
      </w:r>
    </w:p>
    <w:p>
      <w:pPr>
        <w:pStyle w:val="Normal"/>
        <w:jc w:val="both"/>
        <w:rPr>
          <w:rFonts w:ascii="Times New Roman" w:hAnsi="Times New Roman" w:cs="Times New Roman"/>
          <w:b/>
          <w:b/>
          <w:color w:val="333333"/>
          <w:sz w:val="24"/>
          <w:szCs w:val="24"/>
          <w:highlight w:val="white"/>
        </w:rPr>
      </w:pPr>
      <w:r>
        <w:rPr>
          <w:rFonts w:cs="Times New Roman" w:ascii="Times New Roman" w:hAnsi="Times New Roman"/>
          <w:b/>
          <w:color w:val="333333"/>
          <w:sz w:val="24"/>
          <w:szCs w:val="24"/>
          <w:shd w:fill="FFFFFF" w:val="clear"/>
        </w:rPr>
        <w:t>Realização Técnica da Pesquisa de Campo:</w:t>
      </w:r>
    </w:p>
    <w:p>
      <w:pPr>
        <w:pStyle w:val="Normal"/>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Norte Pesquisa</w:t>
      </w:r>
    </w:p>
    <w:tbl>
      <w:tblPr>
        <w:tblStyle w:val="Tabelacomgrade"/>
        <w:tblW w:w="8504" w:type="dxa"/>
        <w:jc w:val="left"/>
        <w:tblInd w:w="0" w:type="dxa"/>
        <w:shd w:fill="FFFFFF" w:val="clear"/>
        <w:tblCellMar>
          <w:top w:w="0" w:type="dxa"/>
          <w:left w:w="108" w:type="dxa"/>
          <w:bottom w:w="0" w:type="dxa"/>
          <w:right w:w="108" w:type="dxa"/>
        </w:tblCellMar>
        <w:tblLook w:firstRow="1" w:noVBand="1" w:lastRow="0" w:firstColumn="1" w:lastColumn="0" w:noHBand="0" w:val="04a0"/>
      </w:tblPr>
      <w:tblGrid>
        <w:gridCol w:w="4252"/>
        <w:gridCol w:w="4251"/>
      </w:tblGrid>
      <w:tr>
        <w:trPr>
          <w:cnfStyle w:val="100000000000" w:firstRow="1" w:lastRow="0" w:firstColumn="0" w:lastColumn="0" w:oddVBand="0" w:evenVBand="0" w:oddHBand="0" w:evenHBand="0" w:firstRowFirstColumn="0" w:firstRowLastColumn="0" w:lastRowFirstColumn="0" w:lastRowLastColumn="0"/>
        </w:trPr>
        <w:tc>
          <w:tcPr>
            <w:tcW w:w="4252"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spacing w:lineRule="auto" w:line="240" w:before="0" w:after="0"/>
              <w:jc w:val="both"/>
              <w:rPr>
                <w:rFonts w:ascii="Times New Roman" w:hAnsi="Times New Roman" w:cs="Times New Roman"/>
                <w:i w:val="false"/>
                <w:i w:val="false"/>
                <w:color w:val="333333"/>
                <w:highlight w:val="white"/>
              </w:rPr>
            </w:pPr>
            <w:r>
              <w:rPr>
                <w:rFonts w:eastAsia="" w:cs="Times New Roman" w:eastAsiaTheme="minorEastAsia" w:ascii="Times New Roman" w:hAnsi="Times New Roman"/>
                <w:b/>
                <w:bCs/>
                <w:i w:val="false"/>
                <w:iCs/>
                <w:color w:val="333333"/>
                <w:sz w:val="20"/>
                <w:szCs w:val="20"/>
                <w:shd w:fill="FFFFFF" w:val="clear"/>
                <w:lang w:eastAsia="pt-BR"/>
              </w:rPr>
              <w:t>Entrevistadores:</w:t>
            </w:r>
          </w:p>
          <w:p>
            <w:pPr>
              <w:pStyle w:val="Normal"/>
              <w:spacing w:lineRule="auto" w:line="240" w:before="0" w:after="0"/>
              <w:ind w:left="567" w:hanging="0"/>
              <w:jc w:val="both"/>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Aldemir S. da Hora Júnior</w:t>
            </w:r>
          </w:p>
          <w:p>
            <w:pPr>
              <w:pStyle w:val="Normal"/>
              <w:spacing w:lineRule="auto" w:line="240" w:before="0" w:after="0"/>
              <w:ind w:left="567" w:hanging="0"/>
              <w:jc w:val="both"/>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Carla Gabriela Agra do Lago</w:t>
            </w:r>
          </w:p>
          <w:p>
            <w:pPr>
              <w:pStyle w:val="Normal"/>
              <w:spacing w:lineRule="auto" w:line="240" w:before="0" w:after="0"/>
              <w:ind w:left="567" w:hanging="0"/>
              <w:jc w:val="both"/>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Coate Márcio Ramos de Oliveira</w:t>
            </w:r>
          </w:p>
          <w:p>
            <w:pPr>
              <w:pStyle w:val="Normal"/>
              <w:spacing w:lineRule="auto" w:line="240" w:before="0" w:after="0"/>
              <w:ind w:left="567" w:hanging="0"/>
              <w:jc w:val="both"/>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Erivan Luís Bezerra Júnior</w:t>
            </w:r>
          </w:p>
          <w:p>
            <w:pPr>
              <w:pStyle w:val="Normal"/>
              <w:spacing w:lineRule="auto" w:line="240" w:before="0" w:after="0"/>
              <w:ind w:left="567" w:hanging="0"/>
              <w:jc w:val="both"/>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Gabriela Bernardo de Souza</w:t>
            </w:r>
          </w:p>
          <w:p>
            <w:pPr>
              <w:pStyle w:val="Normal"/>
              <w:spacing w:lineRule="auto" w:line="240" w:before="0" w:after="0"/>
              <w:ind w:left="567" w:hanging="0"/>
              <w:jc w:val="both"/>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Gerlane Silva Rêgo</w:t>
            </w:r>
          </w:p>
          <w:p>
            <w:pPr>
              <w:pStyle w:val="Normal"/>
              <w:spacing w:lineRule="auto" w:line="240" w:before="0" w:after="0"/>
              <w:ind w:left="567" w:hanging="0"/>
              <w:jc w:val="both"/>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Katiuscia Maria Bezerra</w:t>
            </w:r>
          </w:p>
          <w:p>
            <w:pPr>
              <w:pStyle w:val="Normal"/>
              <w:spacing w:lineRule="auto" w:line="240" w:before="0" w:after="0"/>
              <w:ind w:left="567" w:hanging="0"/>
              <w:jc w:val="both"/>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Mauricea Cardoso da Silva</w:t>
            </w:r>
          </w:p>
          <w:p>
            <w:pPr>
              <w:pStyle w:val="Normal"/>
              <w:spacing w:lineRule="auto" w:line="240" w:before="0" w:after="0"/>
              <w:ind w:left="567" w:hanging="0"/>
              <w:jc w:val="both"/>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Roberta Maria de Souza</w:t>
            </w:r>
          </w:p>
          <w:p>
            <w:pPr>
              <w:pStyle w:val="Normal"/>
              <w:spacing w:lineRule="auto" w:line="240" w:before="0" w:after="0"/>
              <w:ind w:left="567" w:hanging="0"/>
              <w:jc w:val="both"/>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Sandra Maria Sampaio Camurça</w:t>
            </w:r>
          </w:p>
          <w:p>
            <w:pPr>
              <w:pStyle w:val="Normal"/>
              <w:spacing w:lineRule="auto" w:line="240" w:before="0" w:after="0"/>
              <w:jc w:val="both"/>
              <w:rPr>
                <w:rFonts w:ascii="Times New Roman" w:hAnsi="Times New Roman" w:cs="Times New Roman"/>
                <w:bCs w:val="false"/>
                <w:iCs w:val="false"/>
                <w:color w:val="333333"/>
                <w:highlight w:val="white"/>
              </w:rPr>
            </w:pPr>
            <w:r>
              <w:rPr>
                <w:rFonts w:eastAsia="" w:cs="Times New Roman" w:eastAsiaTheme="minorEastAsia" w:ascii="Times New Roman" w:hAnsi="Times New Roman"/>
                <w:b/>
                <w:bCs w:val="false"/>
                <w:i w:val="false"/>
                <w:iCs w:val="false"/>
                <w:color w:val="333333"/>
                <w:sz w:val="20"/>
                <w:szCs w:val="20"/>
                <w:shd w:fill="FFFFFF" w:val="clear"/>
                <w:lang w:eastAsia="pt-BR"/>
              </w:rPr>
              <w:t>Digitadores</w:t>
            </w:r>
            <w:r>
              <w:rPr>
                <w:rFonts w:eastAsia="" w:cs="Times New Roman" w:eastAsiaTheme="minorEastAsia" w:ascii="Times New Roman" w:hAnsi="Times New Roman"/>
                <w:b/>
                <w:bCs w:val="false"/>
                <w:i/>
                <w:iCs w:val="false"/>
                <w:color w:val="333333"/>
                <w:sz w:val="20"/>
                <w:szCs w:val="20"/>
                <w:shd w:fill="FFFFFF" w:val="clear"/>
                <w:lang w:eastAsia="pt-BR"/>
              </w:rPr>
              <w:t>:</w:t>
            </w:r>
          </w:p>
          <w:p>
            <w:pPr>
              <w:pStyle w:val="Normal"/>
              <w:spacing w:lineRule="auto" w:line="240" w:before="0" w:after="0"/>
              <w:ind w:left="567" w:hanging="0"/>
              <w:jc w:val="both"/>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Ana Paula de Albuquerque Ferreira</w:t>
            </w:r>
          </w:p>
          <w:p>
            <w:pPr>
              <w:pStyle w:val="Normal"/>
              <w:spacing w:lineRule="auto" w:line="240" w:before="0" w:after="0"/>
              <w:ind w:left="567" w:hanging="0"/>
              <w:jc w:val="both"/>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Sérgio Luiz Barbosa</w:t>
            </w:r>
          </w:p>
        </w:tc>
        <w:tc>
          <w:tcPr>
            <w:tcW w:w="4251" w:type="dxa"/>
            <w:tcBorders>
              <w:top w:val="nil"/>
              <w:left w:val="nil"/>
              <w:bottom w:val="nil"/>
              <w:right w:val="nil"/>
            </w:tcBorders>
            <w:shd w:color="auto" w:fill="FFFFFF" w:themeFill="background1" w:val="clear"/>
          </w:tcPr>
          <w:p>
            <w:pPr>
              <w:pStyle w:val="Normal"/>
              <w:spacing w:lineRule="auto" w:line="24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false"/>
                <w:i w:val="false"/>
                <w:color w:val="333333"/>
                <w:highlight w:val="white"/>
              </w:rPr>
            </w:pPr>
            <w:r>
              <w:rPr>
                <w:rFonts w:eastAsia="" w:cs="Times New Roman" w:eastAsiaTheme="minorEastAsia" w:ascii="Times New Roman" w:hAnsi="Times New Roman"/>
                <w:b/>
                <w:bCs/>
                <w:i w:val="false"/>
                <w:iCs/>
                <w:color w:val="333333"/>
                <w:sz w:val="20"/>
                <w:szCs w:val="20"/>
                <w:shd w:fill="FFFFFF" w:val="clear"/>
                <w:lang w:eastAsia="pt-BR"/>
              </w:rPr>
              <w:t>Supervisão de campo:</w:t>
            </w:r>
          </w:p>
          <w:p>
            <w:pPr>
              <w:pStyle w:val="Normal"/>
              <w:spacing w:lineRule="auto" w:line="240" w:before="0" w:after="0"/>
              <w:ind w:left="567" w:hang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Fernanda Maria Rocha Soares</w:t>
            </w:r>
          </w:p>
          <w:p>
            <w:pPr>
              <w:pStyle w:val="Normal"/>
              <w:spacing w:lineRule="auto" w:line="240" w:before="0" w:after="0"/>
              <w:ind w:left="567" w:hang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João Batista do Nascimento Feitosa</w:t>
            </w:r>
          </w:p>
          <w:p>
            <w:pPr>
              <w:pStyle w:val="Normal"/>
              <w:spacing w:lineRule="auto" w:line="24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false"/>
                <w:i w:val="false"/>
                <w:color w:val="333333"/>
                <w:highlight w:val="white"/>
              </w:rPr>
            </w:pPr>
            <w:r>
              <w:rPr>
                <w:rFonts w:eastAsia="" w:cs="Times New Roman" w:eastAsiaTheme="minorEastAsia" w:ascii="Times New Roman" w:hAnsi="Times New Roman"/>
                <w:b/>
                <w:bCs/>
                <w:i w:val="false"/>
                <w:iCs/>
                <w:color w:val="333333"/>
                <w:sz w:val="20"/>
                <w:szCs w:val="20"/>
                <w:shd w:fill="FFFFFF" w:val="clear"/>
                <w:lang w:eastAsia="pt-BR"/>
              </w:rPr>
              <w:t>Checagem:</w:t>
            </w:r>
          </w:p>
          <w:p>
            <w:pPr>
              <w:pStyle w:val="Normal"/>
              <w:spacing w:lineRule="auto" w:line="240" w:before="0" w:after="0"/>
              <w:ind w:left="567" w:hang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Claudécio João B. Pedrosa</w:t>
            </w:r>
          </w:p>
          <w:p>
            <w:pPr>
              <w:pStyle w:val="Normal"/>
              <w:spacing w:lineRule="auto" w:line="24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false"/>
                <w:i w:val="false"/>
                <w:color w:val="333333"/>
                <w:highlight w:val="white"/>
              </w:rPr>
            </w:pPr>
            <w:r>
              <w:rPr>
                <w:rFonts w:eastAsia="" w:cs="Times New Roman" w:eastAsiaTheme="minorEastAsia" w:ascii="Times New Roman" w:hAnsi="Times New Roman"/>
                <w:b/>
                <w:bCs/>
                <w:i w:val="false"/>
                <w:iCs/>
                <w:color w:val="333333"/>
                <w:sz w:val="20"/>
                <w:szCs w:val="20"/>
                <w:shd w:fill="FFFFFF" w:val="clear"/>
                <w:lang w:eastAsia="pt-BR"/>
              </w:rPr>
              <w:t>Crítica:</w:t>
            </w:r>
          </w:p>
          <w:p>
            <w:pPr>
              <w:pStyle w:val="Normal"/>
              <w:spacing w:lineRule="auto" w:line="240" w:before="0" w:after="0"/>
              <w:ind w:left="567" w:hang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Maria do Socorro da Silva</w:t>
            </w:r>
          </w:p>
          <w:p>
            <w:pPr>
              <w:pStyle w:val="Normal"/>
              <w:spacing w:lineRule="auto" w:line="24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false"/>
                <w:i w:val="false"/>
                <w:color w:val="333333"/>
                <w:highlight w:val="white"/>
              </w:rPr>
            </w:pPr>
            <w:r>
              <w:rPr>
                <w:rFonts w:eastAsia="" w:cs="Times New Roman" w:eastAsiaTheme="minorEastAsia" w:ascii="Times New Roman" w:hAnsi="Times New Roman"/>
                <w:b/>
                <w:bCs/>
                <w:i w:val="false"/>
                <w:iCs/>
                <w:color w:val="333333"/>
                <w:sz w:val="20"/>
                <w:szCs w:val="20"/>
                <w:shd w:fill="FFFFFF" w:val="clear"/>
                <w:lang w:eastAsia="pt-BR"/>
              </w:rPr>
              <w:t>Supervisão de digitação:</w:t>
            </w:r>
          </w:p>
          <w:p>
            <w:pPr>
              <w:pStyle w:val="Normal"/>
              <w:spacing w:lineRule="auto" w:line="240" w:before="0" w:after="0"/>
              <w:ind w:left="567" w:hang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Maria da Conceição P. dos Santos</w:t>
            </w:r>
          </w:p>
          <w:p>
            <w:pPr>
              <w:pStyle w:val="Normal"/>
              <w:spacing w:lineRule="auto" w:line="24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false"/>
                <w:i w:val="false"/>
                <w:color w:val="333333"/>
                <w:highlight w:val="white"/>
              </w:rPr>
            </w:pPr>
            <w:r>
              <w:rPr>
                <w:rFonts w:eastAsia="" w:cs="Times New Roman" w:eastAsiaTheme="minorEastAsia" w:ascii="Times New Roman" w:hAnsi="Times New Roman"/>
                <w:b/>
                <w:bCs/>
                <w:i w:val="false"/>
                <w:iCs/>
                <w:color w:val="333333"/>
                <w:sz w:val="20"/>
                <w:szCs w:val="20"/>
                <w:shd w:fill="FFFFFF" w:val="clear"/>
                <w:lang w:eastAsia="pt-BR"/>
              </w:rPr>
              <w:t>Processamento de dados:</w:t>
            </w:r>
          </w:p>
          <w:p>
            <w:pPr>
              <w:pStyle w:val="Normal"/>
              <w:spacing w:lineRule="auto" w:line="240" w:before="0" w:after="0"/>
              <w:ind w:left="567" w:hang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false"/>
                <w:b w:val="false"/>
                <w:color w:val="333333"/>
                <w:highlight w:val="white"/>
              </w:rPr>
            </w:pPr>
            <w:r>
              <w:rPr>
                <w:rFonts w:eastAsia="" w:cs="Times New Roman" w:eastAsiaTheme="minorEastAsia" w:ascii="Times New Roman" w:hAnsi="Times New Roman"/>
                <w:b w:val="false"/>
                <w:bCs/>
                <w:i/>
                <w:iCs/>
                <w:color w:val="333333"/>
                <w:sz w:val="20"/>
                <w:szCs w:val="20"/>
                <w:shd w:fill="FFFFFF" w:val="clear"/>
                <w:lang w:eastAsia="pt-BR"/>
              </w:rPr>
              <w:t>Mardônio Cavalcanti Lima</w:t>
            </w:r>
          </w:p>
        </w:tc>
      </w:tr>
    </w:tbl>
    <w:p>
      <w:pPr>
        <w:pStyle w:val="Normal"/>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r>
    </w:p>
    <w:p>
      <w:pPr>
        <w:pStyle w:val="Normal"/>
        <w:jc w:val="center"/>
        <w:rPr>
          <w:rFonts w:ascii="Arial" w:hAnsi="Arial" w:cs="Arial"/>
          <w:color w:val="333333"/>
          <w:highlight w:val="white"/>
        </w:rPr>
      </w:pPr>
      <w:r>
        <w:rPr>
          <w:rFonts w:cs="Arial" w:ascii="Arial" w:hAnsi="Arial"/>
          <w:color w:val="333333"/>
          <w:shd w:fill="FFFFFF" w:val="clear"/>
        </w:rPr>
        <w:t>Recife, Agosto de 2019</w:t>
      </w:r>
    </w:p>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r>
      <w:r>
        <w:br w:type="page"/>
      </w:r>
    </w:p>
    <w:p>
      <w:pPr>
        <w:pStyle w:val="Normal"/>
        <w:rPr>
          <w:b/>
          <w:b/>
          <w:sz w:val="28"/>
          <w:szCs w:val="28"/>
        </w:rPr>
      </w:pPr>
      <w:r>
        <w:rPr>
          <w:b/>
          <w:sz w:val="28"/>
          <w:szCs w:val="28"/>
        </w:rPr>
        <w:t>SUMÁRIO</w:t>
      </w:r>
    </w:p>
    <w:p>
      <w:pPr>
        <w:pStyle w:val="Normal"/>
        <w:spacing w:before="200" w:after="200"/>
        <w:jc w:val="both"/>
        <w:rPr>
          <w:b/>
          <w:b/>
          <w:i/>
          <w:i/>
        </w:rPr>
      </w:pPr>
      <w:r>
        <w:rPr>
          <w:b/>
          <w:i/>
        </w:rPr>
        <w:t>PARTE I - PERFIL DOS TRABALHADORES/AS EM TI EM PERNAMBUCO A PARTIR DOS DADOS DA RAIS</w:t>
      </w:r>
    </w:p>
    <w:p>
      <w:pPr>
        <w:pStyle w:val="ListParagraph"/>
        <w:numPr>
          <w:ilvl w:val="1"/>
          <w:numId w:val="6"/>
        </w:numPr>
        <w:spacing w:before="0" w:after="0"/>
        <w:contextualSpacing/>
        <w:jc w:val="both"/>
        <w:rPr/>
      </w:pPr>
      <w:r>
        <w:rPr/>
        <w:t>Notas Metodológicas</w:t>
      </w:r>
    </w:p>
    <w:p>
      <w:pPr>
        <w:pStyle w:val="ListParagraph"/>
        <w:numPr>
          <w:ilvl w:val="1"/>
          <w:numId w:val="6"/>
        </w:numPr>
        <w:spacing w:before="0" w:after="0"/>
        <w:contextualSpacing/>
        <w:jc w:val="both"/>
        <w:rPr/>
      </w:pPr>
      <w:r>
        <w:rPr/>
        <w:t>Apresentação dos Dados</w:t>
      </w:r>
    </w:p>
    <w:p>
      <w:pPr>
        <w:pStyle w:val="Normal"/>
        <w:spacing w:before="200" w:after="200"/>
        <w:jc w:val="both"/>
        <w:rPr>
          <w:b/>
          <w:b/>
          <w:i/>
          <w:i/>
        </w:rPr>
      </w:pPr>
      <w:r>
        <w:rPr>
          <w:b/>
          <w:i/>
        </w:rPr>
        <w:t>PARTE II – PERFIL DOS TRABALHADORES/AS EM TI DA REGIÃO METROPOLITANA DE RECIFE – SURVEY 2017</w:t>
      </w:r>
    </w:p>
    <w:p>
      <w:pPr>
        <w:pStyle w:val="Normal"/>
        <w:spacing w:before="0" w:after="0"/>
        <w:ind w:left="357" w:hanging="0"/>
        <w:jc w:val="both"/>
        <w:rPr/>
      </w:pPr>
      <w:r>
        <w:rPr/>
        <w:t>2.1. Notas Metodológicas</w:t>
      </w:r>
    </w:p>
    <w:p>
      <w:pPr>
        <w:pStyle w:val="Normal"/>
        <w:spacing w:before="0" w:after="0"/>
        <w:ind w:left="357" w:hanging="0"/>
        <w:jc w:val="both"/>
        <w:rPr/>
      </w:pPr>
      <w:r>
        <w:rPr/>
        <w:t>2.2. Dados Sociodemográficos</w:t>
      </w:r>
    </w:p>
    <w:p>
      <w:pPr>
        <w:pStyle w:val="Normal"/>
        <w:spacing w:before="0" w:after="0"/>
        <w:ind w:left="357" w:hanging="0"/>
        <w:jc w:val="both"/>
        <w:rPr/>
      </w:pPr>
      <w:r>
        <w:rPr/>
        <w:t>2.3. Trabalho</w:t>
      </w:r>
    </w:p>
    <w:p>
      <w:pPr>
        <w:pStyle w:val="Normal"/>
        <w:spacing w:before="0" w:after="0"/>
        <w:ind w:left="357" w:hanging="0"/>
        <w:jc w:val="both"/>
        <w:rPr/>
      </w:pPr>
      <w:r>
        <w:rPr/>
        <w:t>2.4. Família</w:t>
      </w:r>
    </w:p>
    <w:p>
      <w:pPr>
        <w:pStyle w:val="Normal"/>
        <w:spacing w:before="0" w:after="0"/>
        <w:ind w:left="357" w:hanging="0"/>
        <w:jc w:val="both"/>
        <w:rPr/>
      </w:pPr>
      <w:r>
        <w:rPr/>
        <w:t>2.5. Escola</w:t>
      </w:r>
    </w:p>
    <w:p>
      <w:pPr>
        <w:pStyle w:val="Normal"/>
        <w:spacing w:before="0" w:after="0"/>
        <w:ind w:left="357" w:hanging="0"/>
        <w:jc w:val="both"/>
        <w:rPr/>
      </w:pPr>
      <w:r>
        <w:rPr/>
        <w:t>2.6. Religião</w:t>
      </w:r>
    </w:p>
    <w:p>
      <w:pPr>
        <w:pStyle w:val="Normal"/>
        <w:spacing w:before="0" w:after="0"/>
        <w:ind w:left="357" w:hanging="0"/>
        <w:jc w:val="both"/>
        <w:rPr/>
      </w:pPr>
      <w:r>
        <w:rPr/>
        <w:t>2.7. Vida Social e Amizade</w:t>
      </w:r>
    </w:p>
    <w:p>
      <w:pPr>
        <w:pStyle w:val="Normal"/>
        <w:spacing w:before="0" w:after="0"/>
        <w:ind w:left="357" w:hanging="0"/>
        <w:jc w:val="both"/>
        <w:rPr/>
      </w:pPr>
      <w:r>
        <w:rPr/>
        <w:t>2.8. Política</w:t>
      </w:r>
    </w:p>
    <w:p>
      <w:pPr>
        <w:pStyle w:val="Normal"/>
        <w:spacing w:before="0" w:after="0"/>
        <w:ind w:left="357" w:hanging="0"/>
        <w:jc w:val="both"/>
        <w:rPr/>
      </w:pPr>
      <w:r>
        <w:rPr/>
        <w:t>2.9. Sindicato</w:t>
      </w:r>
    </w:p>
    <w:p>
      <w:pPr>
        <w:pStyle w:val="Normal"/>
        <w:spacing w:before="0" w:after="0"/>
        <w:ind w:left="357" w:hanging="0"/>
        <w:jc w:val="both"/>
        <w:rPr/>
      </w:pPr>
      <w:r>
        <w:rPr/>
        <w:t>2.10. Outras Opiniões</w:t>
      </w:r>
    </w:p>
    <w:p>
      <w:pPr>
        <w:pStyle w:val="Normal"/>
        <w:spacing w:before="0" w:after="0"/>
        <w:ind w:left="357" w:hanging="0"/>
        <w:jc w:val="both"/>
        <w:rPr/>
      </w:pPr>
      <w:r>
        <w:rPr/>
        <w:t>2.11. Índices como Instrumentos de Sínteses</w:t>
      </w:r>
    </w:p>
    <w:p>
      <w:pPr>
        <w:pStyle w:val="Normal"/>
        <w:spacing w:before="0" w:after="0"/>
        <w:ind w:left="357" w:hanging="0"/>
        <w:jc w:val="both"/>
        <w:rPr/>
      </w:pPr>
      <w:r>
        <w:rPr/>
        <w:t>2.12. Principais Constatações</w:t>
      </w:r>
    </w:p>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r>
      <w:r>
        <w:br w:type="page"/>
      </w:r>
    </w:p>
    <w:p>
      <w:pPr>
        <w:pStyle w:val="Normal"/>
        <w:rPr>
          <w:b/>
          <w:b/>
          <w:sz w:val="32"/>
          <w:szCs w:val="32"/>
        </w:rPr>
      </w:pPr>
      <w:r>
        <w:rPr>
          <w:b/>
          <w:sz w:val="32"/>
          <w:szCs w:val="32"/>
        </w:rPr>
        <w:t>PARTE I – OS/AS TRABALHADORES/AS EM TI EM PERNAMBUCO, SEGUNDO A RAIS</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1.1. Notas Metodológicas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Esta parte objetiva traçar o </w:t>
      </w:r>
      <w:r>
        <w:rPr>
          <w:rFonts w:cs="Times New Roman" w:ascii="Times New Roman" w:hAnsi="Times New Roman"/>
          <w:color w:val="000000" w:themeColor="text1"/>
          <w:sz w:val="24"/>
          <w:szCs w:val="24"/>
        </w:rPr>
        <w:t xml:space="preserve">perfil social, </w:t>
      </w:r>
      <w:r>
        <w:rPr>
          <w:rFonts w:cs="Times New Roman" w:ascii="Times New Roman" w:hAnsi="Times New Roman"/>
          <w:sz w:val="24"/>
          <w:szCs w:val="24"/>
        </w:rPr>
        <w:t xml:space="preserve">político, cultural e profissional de trabalhadores em Tecnologia da Informação – TI em Pernambuco, a partir de dados da Relação Anual de Informações Sociais – RAIS. O foco recaiu sobre os trabalhadores que em Pernambuco atuam em estabelecimentos prioritariamente voltados ao desenvolvimento de </w:t>
      </w:r>
      <w:r>
        <w:rPr>
          <w:rFonts w:cs="Times New Roman" w:ascii="Times New Roman" w:hAnsi="Times New Roman"/>
          <w:i/>
          <w:sz w:val="24"/>
          <w:szCs w:val="24"/>
        </w:rPr>
        <w:t>softwares</w:t>
      </w:r>
      <w:r>
        <w:rPr>
          <w:rFonts w:cs="Times New Roman" w:ascii="Times New Roman" w:hAnsi="Times New Roman"/>
          <w:sz w:val="24"/>
          <w:szCs w:val="24"/>
        </w:rPr>
        <w:t xml:space="preserve"> e a atividades conexas de consultoria, prestação de serviços, processamento de dados, entre outras.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A RAIS, instituída em 1975, é gerida pelo Ministério do Trabalho e alimentada anualmente a partir de informações administrativas prestadas pelas empresas (públicas e privadas), em caráter obrigatório, sobre os vínculos de emprego. Os microdados propiciam desagregação geográfica em vários níveis (incluindo municipal), por ocupações (com base na Classificação Brasileira de Ocupações – CBO) e por atividades econômicas (conforme a Classificação Nacional de Atividades Econômicas – CNAE), fornecendo informações sobre sexo, faixa etária, escolaridade, faixa de remuneração, jornada de trabalho contratada, entre outras.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O banco de dados assim formado implica limitações, sendo a mais importante sua restrição aos assalariados formais, o que é particularmente relevante em casos, como o do Brasil e, ainda mais, do Nordeste, com grande incidência de ocupações informais. Por essa razão, os dados da RAIS têm maior validade no estudo dos segmentos melhor estruturados economicamente, sendo esse o caso do setor de TIC</w:t>
      </w:r>
      <w:r>
        <w:rPr>
          <w:rStyle w:val="Ncoradanotaderodap"/>
          <w:rFonts w:cs="Times New Roman" w:ascii="Times New Roman" w:hAnsi="Times New Roman"/>
          <w:sz w:val="24"/>
          <w:szCs w:val="24"/>
          <w:vertAlign w:val="superscript"/>
        </w:rPr>
        <w:footnoteReference w:id="2"/>
      </w:r>
      <w:r>
        <w:rPr>
          <w:rFonts w:cs="Times New Roman" w:ascii="Times New Roman" w:hAnsi="Times New Roman"/>
          <w:sz w:val="24"/>
          <w:szCs w:val="24"/>
        </w:rPr>
        <w:t xml:space="preserve">. Não obstante o risco de erros no preenchimento do formulário (Saboia e Tolipan, 1985), a RAIS produz, para o segmento de ocupação formal, uma informação confiável (Negri </w:t>
      </w:r>
      <w:r>
        <w:rPr>
          <w:rFonts w:cs="Times New Roman" w:ascii="Times New Roman" w:hAnsi="Times New Roman"/>
          <w:i/>
          <w:sz w:val="24"/>
          <w:szCs w:val="24"/>
        </w:rPr>
        <w:t>et al</w:t>
      </w:r>
      <w:r>
        <w:rPr>
          <w:rFonts w:cs="Times New Roman" w:ascii="Times New Roman" w:hAnsi="Times New Roman"/>
          <w:sz w:val="24"/>
          <w:szCs w:val="24"/>
        </w:rPr>
        <w:t>, 2001), consistindo em uma das mais importantes fontes para os estudos de mercado de trabalho no país.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Utilizamos como filtro as atividades dos Grupos 620 (“Atividades dos serviços de tecnologia da informação”) e 631 (“Tratamento de dados, hospedagem na internet e outras atividades relacionadas”) da CNAE</w:t>
      </w:r>
      <w:r>
        <w:rPr>
          <w:rStyle w:val="Ncoradanotaderodap"/>
          <w:rFonts w:cs="Times New Roman" w:ascii="Times New Roman" w:hAnsi="Times New Roman"/>
          <w:sz w:val="24"/>
          <w:szCs w:val="24"/>
          <w:vertAlign w:val="superscript"/>
        </w:rPr>
        <w:footnoteReference w:id="3"/>
      </w:r>
      <w:r>
        <w:rPr>
          <w:rFonts w:cs="Times New Roman" w:ascii="Times New Roman" w:hAnsi="Times New Roman"/>
          <w:sz w:val="24"/>
          <w:szCs w:val="24"/>
        </w:rPr>
        <w:t>. Contudo, constatando que há empresas de Teleatendimento registradas na RAIS com os códigos 620 ou 631, do total obtido subtraímos as ocupações de “Operador de Telemarketing Ativo e Receptivo”, “Operador de Telemarketing Ativo”, “Operador de Telemarketing Receptivo”, “Operador de Telemarketing Técnico” e “Supervisor de Telemarketing e Atendimento”</w:t>
      </w:r>
      <w:r>
        <w:rPr>
          <w:rStyle w:val="Ncoradanotaderodap"/>
          <w:rFonts w:cs="Times New Roman" w:ascii="Times New Roman" w:hAnsi="Times New Roman"/>
          <w:sz w:val="24"/>
          <w:szCs w:val="24"/>
        </w:rPr>
        <w:footnoteReference w:id="4"/>
      </w:r>
      <w:r>
        <w:rPr>
          <w:rFonts w:cs="Times New Roman" w:ascii="Times New Roman" w:hAnsi="Times New Roman"/>
          <w:sz w:val="24"/>
          <w:szCs w:val="24"/>
        </w:rPr>
        <w:t xml:space="preserve">. Excluímos ainda os vínculos que registraram remuneração nominal igual a zero. Com os filtros adotados, deixamos de fora aqueles com ocupações típicas do segmento de produção de </w:t>
      </w:r>
      <w:r>
        <w:rPr>
          <w:rFonts w:cs="Times New Roman" w:ascii="Times New Roman" w:hAnsi="Times New Roman"/>
          <w:i/>
          <w:sz w:val="24"/>
          <w:szCs w:val="24"/>
        </w:rPr>
        <w:t>software</w:t>
      </w:r>
      <w:r>
        <w:rPr>
          <w:rFonts w:cs="Times New Roman" w:ascii="Times New Roman" w:hAnsi="Times New Roman"/>
          <w:sz w:val="24"/>
          <w:szCs w:val="24"/>
        </w:rPr>
        <w:t xml:space="preserve"> mas que pertencem a Grupos diferentes de 620 e 631 (a exemplo dos que atuam em empresas de telecomunicações, bancos etc.). A base da consulta não são as </w:t>
      </w:r>
      <w:r>
        <w:rPr>
          <w:rFonts w:cs="Times New Roman" w:ascii="Times New Roman" w:hAnsi="Times New Roman"/>
          <w:i/>
          <w:sz w:val="24"/>
          <w:szCs w:val="24"/>
        </w:rPr>
        <w:t>ocupações</w:t>
      </w:r>
      <w:r>
        <w:rPr>
          <w:rFonts w:cs="Times New Roman" w:ascii="Times New Roman" w:hAnsi="Times New Roman"/>
          <w:sz w:val="24"/>
          <w:szCs w:val="24"/>
        </w:rPr>
        <w:t xml:space="preserve">, mas as </w:t>
      </w:r>
      <w:r>
        <w:rPr>
          <w:rFonts w:cs="Times New Roman" w:ascii="Times New Roman" w:hAnsi="Times New Roman"/>
          <w:i/>
          <w:sz w:val="24"/>
          <w:szCs w:val="24"/>
        </w:rPr>
        <w:t>atividades</w:t>
      </w:r>
      <w:r>
        <w:rPr>
          <w:rFonts w:cs="Times New Roman" w:ascii="Times New Roman" w:hAnsi="Times New Roman"/>
          <w:sz w:val="24"/>
          <w:szCs w:val="24"/>
        </w:rPr>
        <w:t>.</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Esta parte está organizada em quatro seções, além destas </w:t>
      </w:r>
      <w:r>
        <w:rPr>
          <w:rFonts w:cs="Times New Roman" w:ascii="Times New Roman" w:hAnsi="Times New Roman"/>
          <w:i/>
          <w:sz w:val="24"/>
          <w:szCs w:val="24"/>
        </w:rPr>
        <w:t>Notas Metodológicas</w:t>
      </w:r>
      <w:r>
        <w:rPr>
          <w:rFonts w:cs="Times New Roman" w:ascii="Times New Roman" w:hAnsi="Times New Roman"/>
          <w:sz w:val="24"/>
          <w:szCs w:val="24"/>
        </w:rPr>
        <w:t xml:space="preserve">. Na primeira, situamos os trabalhadores formalmente empregados no setor de TI (segmento de </w:t>
      </w:r>
      <w:r>
        <w:rPr>
          <w:rFonts w:cs="Times New Roman" w:ascii="Times New Roman" w:hAnsi="Times New Roman"/>
          <w:i/>
          <w:sz w:val="24"/>
          <w:szCs w:val="24"/>
        </w:rPr>
        <w:t>software</w:t>
      </w:r>
      <w:r>
        <w:rPr>
          <w:rFonts w:cs="Times New Roman" w:ascii="Times New Roman" w:hAnsi="Times New Roman"/>
          <w:sz w:val="24"/>
          <w:szCs w:val="24"/>
        </w:rPr>
        <w:t>)</w:t>
      </w:r>
      <w:r>
        <w:rPr>
          <w:rStyle w:val="Ncoradanotaderodap"/>
          <w:rFonts w:cs="Times New Roman" w:ascii="Times New Roman" w:hAnsi="Times New Roman"/>
          <w:sz w:val="24"/>
          <w:szCs w:val="24"/>
          <w:vertAlign w:val="superscript"/>
        </w:rPr>
        <w:footnoteReference w:id="5"/>
      </w:r>
      <w:r>
        <w:rPr>
          <w:rFonts w:cs="Times New Roman" w:ascii="Times New Roman" w:hAnsi="Times New Roman"/>
          <w:sz w:val="24"/>
          <w:szCs w:val="24"/>
        </w:rPr>
        <w:t xml:space="preserve"> em Pernambuco em relação ao seu perfil no Brasil e no Nordeste. Em seguida, os comparamos com o perfil médio dos empregados formais em geral no Brasil, no Nordeste e em Pernambuco. Em terceiro, passamos à sua comparação com outros segmentos de trabalhadores em TIC em Pernambuco (Telecomunicações, Produção de Audiovisuais e Teleatendimento). No quarto detalhamos o perfil socioprofissional e os vínculos de emprego dos trabalhadores em TI(sw) em Pernambuco. Para finalizar, tecemos algumas considerações.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1.2. Apresentação dos Dados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O segmento de TI, assim como de TIC em geral, tem registrado nas últimas décadas um contínuo e consistente crescimento no Brasil (SOFTEX, 2013). Sobre os empregos formais em estabelecimentos de TI(sw), a Tabela 1 indica, contudo, que embora sua ampliação atinja todas as regiões do país observam-se entre elas relevantes discrepâncias.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Tabela 1 – Empregos formais em estabelecimentos de TI(sw) por regiões do Brasil</w:t>
      </w:r>
    </w:p>
    <w:p>
      <w:pPr>
        <w:pStyle w:val="Normal"/>
        <w:spacing w:lineRule="auto" w:line="240" w:before="0" w:after="0"/>
        <w:jc w:val="center"/>
        <w:rPr>
          <w:rFonts w:ascii="Arial" w:hAnsi="Arial" w:cs="Arial"/>
          <w:i/>
          <w:i/>
          <w:sz w:val="18"/>
          <w:szCs w:val="18"/>
        </w:rPr>
      </w:pPr>
      <w:r>
        <w:rPr>
          <w:rFonts w:cs="Arial" w:ascii="Arial" w:hAnsi="Arial"/>
          <w:i/>
          <w:sz w:val="20"/>
          <w:szCs w:val="20"/>
        </w:rPr>
        <w:t xml:space="preserve">– </w:t>
      </w:r>
      <w:r>
        <w:rPr>
          <w:rFonts w:cs="Arial" w:ascii="Arial" w:hAnsi="Arial"/>
          <w:i/>
          <w:sz w:val="20"/>
          <w:szCs w:val="20"/>
        </w:rPr>
        <w:t>variações entre 2007 e 2017</w:t>
      </w:r>
      <w:r>
        <w:rPr>
          <w:rStyle w:val="Ncoradanotaderodap"/>
          <w:rFonts w:eastAsia="Times New Roman" w:cs="Times New Roman" w:ascii="Times New Roman" w:hAnsi="Times New Roman"/>
          <w:bCs/>
          <w:color w:val="000000"/>
          <w:sz w:val="18"/>
          <w:szCs w:val="18"/>
        </w:rPr>
        <w:footnoteReference w:id="6"/>
      </w:r>
    </w:p>
    <w:tbl>
      <w:tblPr>
        <w:tblStyle w:val="Tabelacomgrade"/>
        <w:tblW w:w="6593" w:type="dxa"/>
        <w:jc w:val="center"/>
        <w:tblInd w:w="0" w:type="dxa"/>
        <w:tblCellMar>
          <w:top w:w="0" w:type="dxa"/>
          <w:left w:w="108" w:type="dxa"/>
          <w:bottom w:w="0" w:type="dxa"/>
          <w:right w:w="108" w:type="dxa"/>
        </w:tblCellMar>
        <w:tblLook w:firstRow="1" w:noVBand="1" w:lastRow="0" w:firstColumn="1" w:lastColumn="0" w:noHBand="0" w:val="04a0"/>
      </w:tblPr>
      <w:tblGrid>
        <w:gridCol w:w="1273"/>
        <w:gridCol w:w="1208"/>
        <w:gridCol w:w="1276"/>
        <w:gridCol w:w="2835"/>
      </w:tblGrid>
      <w:tr>
        <w:trPr>
          <w:trHeight w:val="20" w:hRule="atLeast"/>
          <w:cnfStyle w:val="100000000000" w:firstRow="1" w:lastRow="0" w:firstColumn="0" w:lastColumn="0" w:oddVBand="0" w:evenVBand="0" w:oddHBand="0" w:evenHBand="0" w:firstRowFirstColumn="0" w:firstRowLastColumn="0" w:lastRowFirstColumn="0" w:lastRowLastColumn="0"/>
        </w:trPr>
        <w:tc>
          <w:tcPr>
            <w:tcW w:w="1273" w:type="dxa"/>
            <w:cnfStyle w:val="001000000000" w:firstRow="0" w:lastRow="0" w:firstColumn="1" w:lastColumn="0" w:oddVBand="0" w:evenVBand="0" w:oddHBand="0" w:evenHBand="0" w:firstRowFirstColumn="0" w:firstRowLastColumn="0" w:lastRowFirstColumn="0" w:lastRowLastColumn="0"/>
            <w:tcBorders>
              <w:top w:val="single" w:sz="8" w:space="0" w:color="000000"/>
              <w:left w:val="nil"/>
              <w:right w:val="nil"/>
            </w:tcBorders>
            <w:shd w:color="C0C0C0" w:fill="FFFFFF" w:val="solid"/>
          </w:tcPr>
          <w:p>
            <w:pPr>
              <w:pStyle w:val="Normal"/>
              <w:spacing w:lineRule="auto" w:line="240" w:before="0" w:after="0"/>
              <w:jc w:val="both"/>
              <w:rPr>
                <w:rFonts w:ascii="Times New Roman" w:hAnsi="Times New Roman" w:eastAsia="Times New Roman" w:cs="Times New Roman"/>
                <w:b/>
                <w:b/>
                <w:bCs w:val="false"/>
                <w:i/>
                <w:i/>
                <w:iCs/>
                <w:color w:val="000000"/>
                <w:sz w:val="18"/>
                <w:szCs w:val="18"/>
                <w:lang w:eastAsia="pt-BR"/>
              </w:rPr>
            </w:pPr>
            <w:r>
              <w:rPr>
                <w:rFonts w:eastAsia="Times New Roman" w:cs="Times New Roman" w:ascii="Times New Roman" w:hAnsi="Times New Roman"/>
                <w:b/>
                <w:bCs w:val="false"/>
                <w:i/>
                <w:iCs/>
                <w:color w:val="000000"/>
                <w:sz w:val="18"/>
                <w:szCs w:val="18"/>
                <w:lang w:eastAsia="pt-BR"/>
              </w:rPr>
            </w:r>
          </w:p>
        </w:tc>
        <w:tc>
          <w:tcPr>
            <w:tcW w:w="1208" w:type="dxa"/>
            <w:tcBorders>
              <w:top w:val="single" w:sz="8" w:space="0" w:color="000000"/>
              <w:left w:val="nil"/>
              <w:bottom w:val="single" w:sz="6" w:space="0" w:color="000000"/>
              <w:right w:val="nil"/>
            </w:tcBorders>
            <w:shd w:color="C0C0C0" w:fill="FFFFFF" w:val="solid"/>
          </w:tcPr>
          <w:p>
            <w:pPr>
              <w:pStyle w:val="Normal"/>
              <w:spacing w:lineRule="auto" w:line="240" w:before="0"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i/>
                <w:iCs/>
                <w:color w:val="000000"/>
                <w:sz w:val="18"/>
                <w:szCs w:val="18"/>
                <w:lang w:eastAsia="pt-BR"/>
              </w:rPr>
              <w:t>2007</w:t>
            </w:r>
          </w:p>
        </w:tc>
        <w:tc>
          <w:tcPr>
            <w:tcW w:w="1276" w:type="dxa"/>
            <w:tcBorders>
              <w:top w:val="single" w:sz="8" w:space="0" w:color="000000"/>
              <w:left w:val="nil"/>
              <w:bottom w:val="single" w:sz="6" w:space="0" w:color="000000"/>
              <w:right w:val="nil"/>
            </w:tcBorders>
            <w:shd w:color="C0C0C0" w:fill="FFFFFF" w:val="solid"/>
          </w:tcPr>
          <w:p>
            <w:pPr>
              <w:pStyle w:val="Normal"/>
              <w:spacing w:lineRule="auto" w:line="240" w:before="0"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i/>
                <w:iCs/>
                <w:color w:val="000000"/>
                <w:sz w:val="18"/>
                <w:szCs w:val="18"/>
                <w:lang w:eastAsia="pt-BR"/>
              </w:rPr>
              <w:t>2017</w:t>
            </w:r>
          </w:p>
        </w:tc>
        <w:tc>
          <w:tcPr>
            <w:tcW w:w="2835" w:type="dxa"/>
            <w:tcBorders>
              <w:top w:val="single" w:sz="8" w:space="0" w:color="000000"/>
              <w:left w:val="nil"/>
              <w:bottom w:val="single" w:sz="6" w:space="0" w:color="000000"/>
              <w:right w:val="nil"/>
            </w:tcBorders>
            <w:shd w:color="C0C0C0" w:fill="FFFFFF" w:val="solid"/>
          </w:tcPr>
          <w:p>
            <w:pPr>
              <w:pStyle w:val="Normal"/>
              <w:spacing w:lineRule="auto" w:line="240" w:before="0"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i/>
                <w:iCs/>
                <w:color w:val="000000"/>
                <w:sz w:val="18"/>
                <w:szCs w:val="18"/>
                <w:lang w:eastAsia="pt-BR"/>
              </w:rPr>
              <w:t>Variação entre 2007 e 2017 em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1273" w:type="dxa"/>
            <w:cnfStyle w:val="001000000000" w:firstRow="0" w:lastRow="0" w:firstColumn="1" w:lastColumn="0" w:oddVBand="0" w:evenVBand="0" w:oddHBand="0" w:evenHBand="0" w:firstRowFirstColumn="0" w:firstRowLastColumn="0" w:lastRowFirstColumn="0" w:lastRowLastColumn="0"/>
            <w:tcBorders>
              <w:top w:val="single" w:sz="8" w:space="0" w:color="000000"/>
              <w:left w:val="nil"/>
              <w:bottom w:val="nil"/>
              <w:right w:val="nil"/>
            </w:tcBorders>
            <w:shd w:color="C0C0C0" w:fill="FFFFFF" w:val="solid"/>
            <w:vAlign w:val="center"/>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Norte</w:t>
            </w:r>
          </w:p>
        </w:tc>
        <w:tc>
          <w:tcPr>
            <w:tcW w:w="1208" w:type="dxa"/>
            <w:tcBorders>
              <w:top w:val="single" w:sz="8" w:space="0" w:color="000000"/>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2.818</w:t>
            </w:r>
          </w:p>
        </w:tc>
        <w:tc>
          <w:tcPr>
            <w:tcW w:w="1276" w:type="dxa"/>
            <w:tcBorders>
              <w:top w:val="single" w:sz="8" w:space="0" w:color="000000"/>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4.967</w:t>
            </w:r>
          </w:p>
        </w:tc>
        <w:tc>
          <w:tcPr>
            <w:tcW w:w="2835" w:type="dxa"/>
            <w:tcBorders>
              <w:top w:val="single" w:sz="8" w:space="0" w:color="000000"/>
              <w:left w:val="nil"/>
              <w:bottom w:val="nil"/>
              <w:right w:val="nil"/>
            </w:tcBorders>
            <w:shd w:color="C0C0C0" w:fill="FFFFFF" w:val="solid"/>
            <w:vAlign w:val="center"/>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76,3</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127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fill="auto" w:val="clear"/>
            <w:vAlign w:val="center"/>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Nordeste</w:t>
            </w:r>
          </w:p>
        </w:tc>
        <w:tc>
          <w:tcPr>
            <w:tcW w:w="1208" w:type="dxa"/>
            <w:tcBorders>
              <w:top w:val="nil"/>
              <w:left w:val="nil"/>
              <w:bottom w:val="nil"/>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18.082</w:t>
            </w:r>
          </w:p>
        </w:tc>
        <w:tc>
          <w:tcPr>
            <w:tcW w:w="1276" w:type="dxa"/>
            <w:tcBorders>
              <w:top w:val="nil"/>
              <w:left w:val="nil"/>
              <w:bottom w:val="nil"/>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31.741</w:t>
            </w:r>
          </w:p>
        </w:tc>
        <w:tc>
          <w:tcPr>
            <w:tcW w:w="2835" w:type="dxa"/>
            <w:tcBorders>
              <w:top w:val="nil"/>
              <w:left w:val="nil"/>
              <w:bottom w:val="nil"/>
              <w:right w:val="nil"/>
            </w:tcBorders>
            <w:shd w:fill="auto" w:val="clear"/>
            <w:vAlign w:val="center"/>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75,5</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127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C0C0C0" w:fill="FFFFFF" w:val="solid"/>
            <w:vAlign w:val="center"/>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Sudeste</w:t>
            </w:r>
          </w:p>
        </w:tc>
        <w:tc>
          <w:tcPr>
            <w:tcW w:w="1208" w:type="dxa"/>
            <w:tcBorders>
              <w:top w:val="nil"/>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151.514</w:t>
            </w:r>
          </w:p>
        </w:tc>
        <w:tc>
          <w:tcPr>
            <w:tcW w:w="1276" w:type="dxa"/>
            <w:tcBorders>
              <w:top w:val="nil"/>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254.643</w:t>
            </w:r>
          </w:p>
        </w:tc>
        <w:tc>
          <w:tcPr>
            <w:tcW w:w="2835" w:type="dxa"/>
            <w:tcBorders>
              <w:top w:val="nil"/>
              <w:left w:val="nil"/>
              <w:bottom w:val="nil"/>
              <w:right w:val="nil"/>
            </w:tcBorders>
            <w:shd w:color="C0C0C0" w:fill="FFFFFF" w:val="solid"/>
            <w:vAlign w:val="center"/>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68,1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127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fill="auto" w:val="clear"/>
            <w:vAlign w:val="center"/>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Sul</w:t>
            </w:r>
          </w:p>
        </w:tc>
        <w:tc>
          <w:tcPr>
            <w:tcW w:w="1208" w:type="dxa"/>
            <w:tcBorders>
              <w:top w:val="nil"/>
              <w:left w:val="nil"/>
              <w:bottom w:val="nil"/>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35.785</w:t>
            </w:r>
          </w:p>
        </w:tc>
        <w:tc>
          <w:tcPr>
            <w:tcW w:w="1276" w:type="dxa"/>
            <w:tcBorders>
              <w:top w:val="nil"/>
              <w:left w:val="nil"/>
              <w:bottom w:val="nil"/>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73.126</w:t>
            </w:r>
          </w:p>
        </w:tc>
        <w:tc>
          <w:tcPr>
            <w:tcW w:w="2835" w:type="dxa"/>
            <w:tcBorders>
              <w:top w:val="nil"/>
              <w:left w:val="nil"/>
              <w:bottom w:val="nil"/>
              <w:right w:val="nil"/>
            </w:tcBorders>
            <w:shd w:fill="auto" w:val="clear"/>
            <w:vAlign w:val="center"/>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104,3</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127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C0C0C0" w:fill="FFFFFF" w:val="solid"/>
            <w:vAlign w:val="center"/>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Centro-Oeste</w:t>
            </w:r>
          </w:p>
        </w:tc>
        <w:tc>
          <w:tcPr>
            <w:tcW w:w="1208" w:type="dxa"/>
            <w:tcBorders>
              <w:top w:val="nil"/>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23.463</w:t>
            </w:r>
          </w:p>
        </w:tc>
        <w:tc>
          <w:tcPr>
            <w:tcW w:w="1276" w:type="dxa"/>
            <w:tcBorders>
              <w:top w:val="nil"/>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35.441</w:t>
            </w:r>
          </w:p>
        </w:tc>
        <w:tc>
          <w:tcPr>
            <w:tcW w:w="2835" w:type="dxa"/>
            <w:tcBorders>
              <w:top w:val="nil"/>
              <w:left w:val="nil"/>
              <w:bottom w:val="nil"/>
              <w:right w:val="nil"/>
            </w:tcBorders>
            <w:shd w:color="C0C0C0" w:fill="FFFFFF" w:val="solid"/>
            <w:vAlign w:val="center"/>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51,1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1273" w:type="dxa"/>
            <w:cnfStyle w:val="001000000000" w:firstRow="0" w:lastRow="0" w:firstColumn="1" w:lastColumn="0" w:oddVBand="0" w:evenVBand="0" w:oddHBand="0" w:evenHBand="0" w:firstRowFirstColumn="0" w:firstRowLastColumn="0" w:lastRowFirstColumn="0" w:lastRowLastColumn="0"/>
            <w:tcBorders>
              <w:top w:val="nil"/>
              <w:left w:val="nil"/>
              <w:bottom w:val="single" w:sz="8" w:space="0" w:color="000000"/>
              <w:right w:val="nil"/>
            </w:tcBorders>
            <w:shd w:fill="auto" w:val="clear"/>
            <w:vAlign w:val="center"/>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Brasil</w:t>
            </w:r>
          </w:p>
        </w:tc>
        <w:tc>
          <w:tcPr>
            <w:tcW w:w="1208" w:type="dxa"/>
            <w:tcBorders>
              <w:top w:val="nil"/>
              <w:left w:val="nil"/>
              <w:bottom w:val="single" w:sz="8" w:space="0" w:color="000000"/>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231.662</w:t>
            </w:r>
          </w:p>
        </w:tc>
        <w:tc>
          <w:tcPr>
            <w:tcW w:w="1276" w:type="dxa"/>
            <w:tcBorders>
              <w:top w:val="nil"/>
              <w:left w:val="nil"/>
              <w:bottom w:val="single" w:sz="8" w:space="0" w:color="000000"/>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399.918</w:t>
            </w:r>
          </w:p>
        </w:tc>
        <w:tc>
          <w:tcPr>
            <w:tcW w:w="2835" w:type="dxa"/>
            <w:tcBorders>
              <w:top w:val="nil"/>
              <w:left w:val="nil"/>
              <w:bottom w:val="single" w:sz="8" w:space="0" w:color="000000"/>
              <w:right w:val="nil"/>
            </w:tcBorders>
            <w:shd w:fill="auto" w:val="clear"/>
            <w:vAlign w:val="center"/>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72,6</w:t>
            </w:r>
          </w:p>
        </w:tc>
      </w:tr>
    </w:tbl>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Fonte: RAIS (elaboração própria)</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lineRule="auto" w:line="240" w:before="0" w:after="0"/>
        <w:jc w:val="center"/>
        <w:rPr>
          <w:rFonts w:ascii="Arial" w:hAnsi="Arial" w:cs="Arial"/>
          <w:i/>
          <w:i/>
          <w:sz w:val="20"/>
          <w:szCs w:val="20"/>
        </w:rPr>
      </w:pPr>
      <w:r>
        <w:rPr>
          <w:rFonts w:cs="Arial" w:ascii="Arial" w:hAnsi="Arial"/>
          <w:i/>
          <w:sz w:val="20"/>
          <w:szCs w:val="20"/>
        </w:rPr>
      </w:r>
    </w:p>
    <w:p>
      <w:pPr>
        <w:pStyle w:val="Normal"/>
        <w:spacing w:lineRule="auto" w:line="240" w:before="0" w:after="0"/>
        <w:jc w:val="center"/>
        <w:rPr>
          <w:rFonts w:ascii="Arial" w:hAnsi="Arial" w:cs="Arial"/>
          <w:i/>
          <w:i/>
          <w:sz w:val="20"/>
          <w:szCs w:val="20"/>
        </w:rPr>
      </w:pPr>
      <w:r>
        <w:rPr>
          <w:rFonts w:cs="Arial" w:ascii="Arial" w:hAnsi="Arial"/>
          <w:i/>
          <w:sz w:val="20"/>
          <w:szCs w:val="20"/>
        </w:rPr>
      </w:r>
    </w:p>
    <w:p>
      <w:pPr>
        <w:pStyle w:val="Normal"/>
        <w:jc w:val="both"/>
        <w:rPr/>
      </w:pPr>
      <w:r>
        <w:rPr>
          <w:rFonts w:cs="Times New Roman" w:ascii="Times New Roman" w:hAnsi="Times New Roman"/>
          <w:sz w:val="24"/>
          <w:szCs w:val="24"/>
        </w:rPr>
        <w:t xml:space="preserve">As variações do emprego no segmento de TI(sw), entre os estados do Nordeste, no mesmo período, também revelam curiosidades (Tabelas 2 e Gráfico 1). Os estados com os mais baixos estoques de emprego em 2007 (em ordem decrescente, Sergipe, Maranhão, Alagoas e Piauí) tiveram desempenhos acima do regional e do nacional, com o primeiro e o terceiro registrando saltos extraordinários (de 223% e 157,9%, respectivamente). Rio Grande Norte, que tinha posição intermediária, e a Bahia, que estava no topo, tiveram desempenhos relativamente medíocres. Ceará e Pernambuco, dois dos três estados melhor posicionados, também tiveram crescimento acima do regional e do nacional. </w:t>
      </w:r>
      <w:r>
        <w:rPr/>
        <w:t>Em 2007, Pernambuco participava com 1,9%, passando em 2017 a 2,2%.</w:t>
      </w:r>
    </w:p>
    <w:p>
      <w:pPr>
        <w:pStyle w:val="Normal"/>
        <w:spacing w:lineRule="auto" w:line="240" w:before="0" w:after="0"/>
        <w:ind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Arial" w:hAnsi="Arial" w:cs="Arial"/>
          <w:i/>
          <w:i/>
          <w:sz w:val="20"/>
          <w:szCs w:val="20"/>
        </w:rPr>
      </w:pPr>
      <w:r>
        <w:rPr>
          <w:rFonts w:cs="Arial" w:ascii="Arial" w:hAnsi="Arial"/>
          <w:i/>
          <w:sz w:val="20"/>
          <w:szCs w:val="20"/>
        </w:rPr>
        <w:t>Tabela 2 – Empregos formais em estabelecimentos de TI(sw) por estados do Nordeste – variações entre 2007 e 2017</w:t>
      </w:r>
    </w:p>
    <w:tbl>
      <w:tblPr>
        <w:tblStyle w:val="Tabelacomgrade"/>
        <w:tblW w:w="6668" w:type="dxa"/>
        <w:jc w:val="center"/>
        <w:tblInd w:w="0" w:type="dxa"/>
        <w:tblCellMar>
          <w:top w:w="0" w:type="dxa"/>
          <w:left w:w="108" w:type="dxa"/>
          <w:bottom w:w="0" w:type="dxa"/>
          <w:right w:w="108" w:type="dxa"/>
        </w:tblCellMar>
        <w:tblLook w:firstRow="1" w:noVBand="1" w:lastRow="0" w:firstColumn="1" w:lastColumn="0" w:noHBand="0" w:val="04a0"/>
      </w:tblPr>
      <w:tblGrid>
        <w:gridCol w:w="2404"/>
        <w:gridCol w:w="1418"/>
        <w:gridCol w:w="1416"/>
        <w:gridCol w:w="1429"/>
      </w:tblGrid>
      <w:tr>
        <w:trPr>
          <w:trHeight w:val="20" w:hRule="atLeast"/>
          <w:cnfStyle w:val="100000000000" w:firstRow="1" w:lastRow="0" w:firstColumn="0" w:lastColumn="0" w:oddVBand="0" w:evenVBand="0" w:oddHBand="0" w:evenHBand="0" w:firstRowFirstColumn="0" w:firstRowLastColumn="0" w:lastRowFirstColumn="0" w:lastRowLastColumn="0"/>
        </w:trPr>
        <w:tc>
          <w:tcPr>
            <w:tcW w:w="2404" w:type="dxa"/>
            <w:cnfStyle w:val="001000000000" w:firstRow="0" w:lastRow="0" w:firstColumn="1" w:lastColumn="0" w:oddVBand="0" w:evenVBand="0" w:oddHBand="0" w:evenHBand="0" w:firstRowFirstColumn="0" w:firstRowLastColumn="0" w:lastRowFirstColumn="0" w:lastRowLastColumn="0"/>
            <w:tcBorders>
              <w:top w:val="single" w:sz="8" w:space="0" w:color="000000"/>
              <w:left w:val="nil"/>
              <w:bottom w:val="single" w:sz="8" w:space="0" w:color="000000"/>
              <w:right w:val="nil"/>
            </w:tcBorders>
            <w:shd w:color="C0C0C0" w:fill="FFFFFF" w:val="solid"/>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i/>
                <w:iCs/>
                <w:color w:val="000000"/>
                <w:sz w:val="18"/>
                <w:szCs w:val="18"/>
                <w:lang w:eastAsia="pt-BR"/>
              </w:rPr>
              <w:t> </w:t>
            </w:r>
          </w:p>
        </w:tc>
        <w:tc>
          <w:tcPr>
            <w:tcW w:w="1418" w:type="dxa"/>
            <w:tcBorders>
              <w:top w:val="single" w:sz="8" w:space="0" w:color="000000"/>
              <w:left w:val="nil"/>
              <w:bottom w:val="single" w:sz="8" w:space="0" w:color="000000"/>
              <w:right w:val="nil"/>
            </w:tcBorders>
            <w:shd w:color="C0C0C0" w:fill="FFFFFF" w:val="solid"/>
          </w:tcPr>
          <w:p>
            <w:pPr>
              <w:pStyle w:val="Normal"/>
              <w:spacing w:lineRule="auto" w:line="240" w:before="0"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i/>
                <w:iCs/>
                <w:color w:val="000000"/>
                <w:sz w:val="18"/>
                <w:szCs w:val="18"/>
                <w:lang w:eastAsia="pt-BR"/>
              </w:rPr>
              <w:t>2007</w:t>
            </w:r>
          </w:p>
        </w:tc>
        <w:tc>
          <w:tcPr>
            <w:tcW w:w="1416" w:type="dxa"/>
            <w:tcBorders>
              <w:top w:val="single" w:sz="8" w:space="0" w:color="000000"/>
              <w:left w:val="nil"/>
              <w:bottom w:val="single" w:sz="8" w:space="0" w:color="000000"/>
              <w:right w:val="nil"/>
            </w:tcBorders>
            <w:shd w:color="C0C0C0" w:fill="FFFFFF" w:val="solid"/>
          </w:tcPr>
          <w:p>
            <w:pPr>
              <w:pStyle w:val="Normal"/>
              <w:spacing w:lineRule="auto" w:line="240" w:before="0"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i/>
                <w:iCs/>
                <w:color w:val="000000"/>
                <w:sz w:val="18"/>
                <w:szCs w:val="18"/>
                <w:lang w:eastAsia="pt-BR"/>
              </w:rPr>
              <w:t>2017</w:t>
            </w:r>
          </w:p>
        </w:tc>
        <w:tc>
          <w:tcPr>
            <w:tcW w:w="1429" w:type="dxa"/>
            <w:tcBorders>
              <w:top w:val="single" w:sz="8" w:space="0" w:color="000000"/>
              <w:left w:val="nil"/>
              <w:bottom w:val="single" w:sz="8" w:space="0" w:color="000000"/>
              <w:right w:val="nil"/>
            </w:tcBorders>
            <w:shd w:color="C0C0C0" w:fill="FFFFFF" w:val="solid"/>
          </w:tcPr>
          <w:p>
            <w:pPr>
              <w:pStyle w:val="Normal"/>
              <w:spacing w:lineRule="auto" w:line="240" w:before="0"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i/>
                <w:iCs/>
                <w:color w:val="000000"/>
                <w:sz w:val="18"/>
                <w:szCs w:val="18"/>
                <w:lang w:eastAsia="pt-BR"/>
              </w:rPr>
              <w:t>Variação em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2404" w:type="dxa"/>
            <w:cnfStyle w:val="001000000000" w:firstRow="0" w:lastRow="0" w:firstColumn="1" w:lastColumn="0" w:oddVBand="0" w:evenVBand="0" w:oddHBand="0" w:evenHBand="0" w:firstRowFirstColumn="0" w:firstRowLastColumn="0" w:lastRowFirstColumn="0" w:lastRowLastColumn="0"/>
            <w:tcBorders>
              <w:top w:val="single" w:sz="8" w:space="0" w:color="000000"/>
              <w:left w:val="nil"/>
              <w:bottom w:val="nil"/>
              <w:right w:val="nil"/>
            </w:tcBorders>
            <w:shd w:color="C0C0C0" w:fill="FFFFFF" w:val="solid"/>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Maranhão</w:t>
            </w:r>
          </w:p>
        </w:tc>
        <w:tc>
          <w:tcPr>
            <w:tcW w:w="1418" w:type="dxa"/>
            <w:tcBorders>
              <w:top w:val="single" w:sz="8" w:space="0" w:color="000000"/>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409</w:t>
            </w:r>
          </w:p>
        </w:tc>
        <w:tc>
          <w:tcPr>
            <w:tcW w:w="1416" w:type="dxa"/>
            <w:tcBorders>
              <w:top w:val="single" w:sz="8" w:space="0" w:color="000000"/>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1.321</w:t>
            </w:r>
          </w:p>
        </w:tc>
        <w:tc>
          <w:tcPr>
            <w:tcW w:w="1429" w:type="dxa"/>
            <w:tcBorders>
              <w:top w:val="single" w:sz="8" w:space="0" w:color="000000"/>
              <w:left w:val="nil"/>
              <w:bottom w:val="nil"/>
              <w:right w:val="nil"/>
            </w:tcBorders>
            <w:shd w:color="C0C0C0" w:fill="FFFFFF" w:val="solid"/>
            <w:vAlign w:val="center"/>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eastAsia="" w:eastAsiaTheme="minorEastAsia"/>
                <w:color w:val="000000"/>
                <w:sz w:val="18"/>
                <w:szCs w:val="18"/>
                <w:lang w:eastAsia="pt-BR"/>
              </w:rPr>
              <w:t>223,0</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240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fill="auto" w:val="clear"/>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Piauí</w:t>
            </w:r>
          </w:p>
        </w:tc>
        <w:tc>
          <w:tcPr>
            <w:tcW w:w="1418" w:type="dxa"/>
            <w:tcBorders>
              <w:top w:val="nil"/>
              <w:left w:val="nil"/>
              <w:bottom w:val="nil"/>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327</w:t>
            </w:r>
          </w:p>
        </w:tc>
        <w:tc>
          <w:tcPr>
            <w:tcW w:w="1416" w:type="dxa"/>
            <w:tcBorders>
              <w:top w:val="nil"/>
              <w:left w:val="nil"/>
              <w:bottom w:val="nil"/>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752</w:t>
            </w:r>
          </w:p>
        </w:tc>
        <w:tc>
          <w:tcPr>
            <w:tcW w:w="1429" w:type="dxa"/>
            <w:tcBorders>
              <w:top w:val="nil"/>
              <w:left w:val="nil"/>
              <w:bottom w:val="nil"/>
              <w:right w:val="nil"/>
            </w:tcBorders>
            <w:shd w:fill="auto" w:val="clear"/>
            <w:vAlign w:val="center"/>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color w:val="000000"/>
                <w:sz w:val="18"/>
                <w:szCs w:val="18"/>
              </w:rPr>
            </w:pPr>
            <w:r>
              <w:rPr>
                <w:rFonts w:eastAsia="" w:eastAsiaTheme="minorEastAsia"/>
                <w:color w:val="000000"/>
                <w:sz w:val="18"/>
                <w:szCs w:val="18"/>
                <w:lang w:eastAsia="pt-BR"/>
              </w:rPr>
              <w:t>130,0</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240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C0C0C0" w:fill="FFFFFF" w:val="solid"/>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Ceará</w:t>
            </w:r>
          </w:p>
        </w:tc>
        <w:tc>
          <w:tcPr>
            <w:tcW w:w="1418" w:type="dxa"/>
            <w:tcBorders>
              <w:top w:val="nil"/>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3.315</w:t>
            </w:r>
          </w:p>
        </w:tc>
        <w:tc>
          <w:tcPr>
            <w:tcW w:w="1416" w:type="dxa"/>
            <w:tcBorders>
              <w:top w:val="nil"/>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7.190</w:t>
            </w:r>
          </w:p>
        </w:tc>
        <w:tc>
          <w:tcPr>
            <w:tcW w:w="1429" w:type="dxa"/>
            <w:tcBorders>
              <w:top w:val="nil"/>
              <w:left w:val="nil"/>
              <w:bottom w:val="nil"/>
              <w:right w:val="nil"/>
            </w:tcBorders>
            <w:shd w:color="C0C0C0" w:fill="FFFFFF" w:val="solid"/>
            <w:vAlign w:val="center"/>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eastAsia="" w:eastAsiaTheme="minorEastAsia"/>
                <w:color w:val="000000"/>
                <w:sz w:val="18"/>
                <w:szCs w:val="18"/>
                <w:lang w:eastAsia="pt-BR"/>
              </w:rPr>
              <w:t>116,9</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240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fill="auto" w:val="clear"/>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Rio Grande do Norte</w:t>
            </w:r>
          </w:p>
        </w:tc>
        <w:tc>
          <w:tcPr>
            <w:tcW w:w="1418" w:type="dxa"/>
            <w:tcBorders>
              <w:top w:val="nil"/>
              <w:left w:val="nil"/>
              <w:bottom w:val="nil"/>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1.885</w:t>
            </w:r>
          </w:p>
        </w:tc>
        <w:tc>
          <w:tcPr>
            <w:tcW w:w="1416" w:type="dxa"/>
            <w:tcBorders>
              <w:top w:val="nil"/>
              <w:left w:val="nil"/>
              <w:bottom w:val="nil"/>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2.032</w:t>
            </w:r>
          </w:p>
        </w:tc>
        <w:tc>
          <w:tcPr>
            <w:tcW w:w="1429" w:type="dxa"/>
            <w:tcBorders>
              <w:top w:val="nil"/>
              <w:left w:val="nil"/>
              <w:bottom w:val="nil"/>
              <w:right w:val="nil"/>
            </w:tcBorders>
            <w:shd w:fill="auto" w:val="clear"/>
            <w:vAlign w:val="center"/>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color w:val="000000"/>
                <w:sz w:val="18"/>
                <w:szCs w:val="18"/>
              </w:rPr>
            </w:pPr>
            <w:r>
              <w:rPr>
                <w:rFonts w:eastAsia="" w:eastAsiaTheme="minorEastAsia"/>
                <w:color w:val="000000"/>
                <w:sz w:val="18"/>
                <w:szCs w:val="18"/>
                <w:lang w:eastAsia="pt-BR"/>
              </w:rPr>
              <w:t>7,8</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240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C0C0C0" w:fill="FFFFFF" w:val="solid"/>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Paraíba</w:t>
            </w:r>
          </w:p>
        </w:tc>
        <w:tc>
          <w:tcPr>
            <w:tcW w:w="1418" w:type="dxa"/>
            <w:tcBorders>
              <w:top w:val="nil"/>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1.179</w:t>
            </w:r>
          </w:p>
        </w:tc>
        <w:tc>
          <w:tcPr>
            <w:tcW w:w="1416" w:type="dxa"/>
            <w:tcBorders>
              <w:top w:val="nil"/>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2.065</w:t>
            </w:r>
          </w:p>
        </w:tc>
        <w:tc>
          <w:tcPr>
            <w:tcW w:w="1429" w:type="dxa"/>
            <w:tcBorders>
              <w:top w:val="nil"/>
              <w:left w:val="nil"/>
              <w:bottom w:val="nil"/>
              <w:right w:val="nil"/>
            </w:tcBorders>
            <w:shd w:color="C0C0C0" w:fill="FFFFFF" w:val="solid"/>
            <w:vAlign w:val="center"/>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eastAsia="" w:eastAsiaTheme="minorEastAsia"/>
                <w:color w:val="000000"/>
                <w:sz w:val="18"/>
                <w:szCs w:val="18"/>
                <w:lang w:eastAsia="pt-BR"/>
              </w:rPr>
              <w:t>75,1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240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fill="auto" w:val="clear"/>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Pernambuco</w:t>
            </w:r>
          </w:p>
        </w:tc>
        <w:tc>
          <w:tcPr>
            <w:tcW w:w="1418" w:type="dxa"/>
            <w:tcBorders>
              <w:top w:val="nil"/>
              <w:left w:val="nil"/>
              <w:bottom w:val="nil"/>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4.409</w:t>
            </w:r>
          </w:p>
        </w:tc>
        <w:tc>
          <w:tcPr>
            <w:tcW w:w="1416" w:type="dxa"/>
            <w:tcBorders>
              <w:top w:val="nil"/>
              <w:left w:val="nil"/>
              <w:bottom w:val="nil"/>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8.726</w:t>
            </w:r>
          </w:p>
        </w:tc>
        <w:tc>
          <w:tcPr>
            <w:tcW w:w="1429" w:type="dxa"/>
            <w:tcBorders>
              <w:top w:val="nil"/>
              <w:left w:val="nil"/>
              <w:bottom w:val="nil"/>
              <w:right w:val="nil"/>
            </w:tcBorders>
            <w:shd w:fill="auto" w:val="clear"/>
            <w:vAlign w:val="center"/>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color w:val="000000"/>
                <w:sz w:val="18"/>
                <w:szCs w:val="18"/>
              </w:rPr>
            </w:pPr>
            <w:r>
              <w:rPr>
                <w:rFonts w:eastAsia="" w:eastAsiaTheme="minorEastAsia"/>
                <w:color w:val="000000"/>
                <w:sz w:val="18"/>
                <w:szCs w:val="18"/>
                <w:lang w:eastAsia="pt-BR"/>
              </w:rPr>
              <w:t>97,9</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240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C0C0C0" w:fill="FFFFFF" w:val="solid"/>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Alagoas</w:t>
            </w:r>
          </w:p>
        </w:tc>
        <w:tc>
          <w:tcPr>
            <w:tcW w:w="1418" w:type="dxa"/>
            <w:tcBorders>
              <w:top w:val="nil"/>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394</w:t>
            </w:r>
          </w:p>
        </w:tc>
        <w:tc>
          <w:tcPr>
            <w:tcW w:w="1416" w:type="dxa"/>
            <w:tcBorders>
              <w:top w:val="nil"/>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1.016</w:t>
            </w:r>
          </w:p>
        </w:tc>
        <w:tc>
          <w:tcPr>
            <w:tcW w:w="1429" w:type="dxa"/>
            <w:tcBorders>
              <w:top w:val="nil"/>
              <w:left w:val="nil"/>
              <w:bottom w:val="nil"/>
              <w:right w:val="nil"/>
            </w:tcBorders>
            <w:shd w:color="C0C0C0" w:fill="FFFFFF" w:val="solid"/>
            <w:vAlign w:val="center"/>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eastAsia="" w:eastAsiaTheme="minorEastAsia"/>
                <w:color w:val="000000"/>
                <w:sz w:val="18"/>
                <w:szCs w:val="18"/>
                <w:lang w:eastAsia="pt-BR"/>
              </w:rPr>
              <w:t>157,9</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240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fill="auto" w:val="clear"/>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Sergipe</w:t>
            </w:r>
          </w:p>
        </w:tc>
        <w:tc>
          <w:tcPr>
            <w:tcW w:w="1418" w:type="dxa"/>
            <w:tcBorders>
              <w:top w:val="nil"/>
              <w:left w:val="nil"/>
              <w:bottom w:val="nil"/>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529</w:t>
            </w:r>
          </w:p>
        </w:tc>
        <w:tc>
          <w:tcPr>
            <w:tcW w:w="1416" w:type="dxa"/>
            <w:tcBorders>
              <w:top w:val="nil"/>
              <w:left w:val="nil"/>
              <w:bottom w:val="nil"/>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1.102</w:t>
            </w:r>
          </w:p>
        </w:tc>
        <w:tc>
          <w:tcPr>
            <w:tcW w:w="1429" w:type="dxa"/>
            <w:tcBorders>
              <w:top w:val="nil"/>
              <w:left w:val="nil"/>
              <w:bottom w:val="nil"/>
              <w:right w:val="nil"/>
            </w:tcBorders>
            <w:shd w:fill="auto" w:val="clear"/>
            <w:vAlign w:val="center"/>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color w:val="000000"/>
                <w:sz w:val="18"/>
                <w:szCs w:val="18"/>
              </w:rPr>
            </w:pPr>
            <w:r>
              <w:rPr>
                <w:rFonts w:eastAsia="" w:eastAsiaTheme="minorEastAsia"/>
                <w:color w:val="000000"/>
                <w:sz w:val="18"/>
                <w:szCs w:val="18"/>
                <w:lang w:eastAsia="pt-BR"/>
              </w:rPr>
              <w:t>108,3</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240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C0C0C0" w:fill="FFFFFF" w:val="solid"/>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Bahia</w:t>
            </w:r>
          </w:p>
        </w:tc>
        <w:tc>
          <w:tcPr>
            <w:tcW w:w="1418" w:type="dxa"/>
            <w:tcBorders>
              <w:top w:val="nil"/>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5.635</w:t>
            </w:r>
          </w:p>
        </w:tc>
        <w:tc>
          <w:tcPr>
            <w:tcW w:w="1416" w:type="dxa"/>
            <w:tcBorders>
              <w:top w:val="nil"/>
              <w:left w:val="nil"/>
              <w:bottom w:val="nil"/>
              <w:right w:val="nil"/>
            </w:tcBorders>
            <w:shd w:color="C0C0C0" w:fill="FFFFFF" w:val="solid"/>
            <w:vAlign w:val="bottom"/>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7.537</w:t>
            </w:r>
          </w:p>
        </w:tc>
        <w:tc>
          <w:tcPr>
            <w:tcW w:w="1429" w:type="dxa"/>
            <w:tcBorders>
              <w:top w:val="nil"/>
              <w:left w:val="nil"/>
              <w:bottom w:val="nil"/>
              <w:right w:val="nil"/>
            </w:tcBorders>
            <w:shd w:color="C0C0C0" w:fill="FFFFFF" w:val="solid"/>
            <w:vAlign w:val="center"/>
          </w:tcPr>
          <w:p>
            <w:pPr>
              <w:pStyle w:val="Normal"/>
              <w:spacing w:lineRule="auto" w:line="240" w:before="0" w:after="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eastAsia="" w:eastAsiaTheme="minorEastAsia"/>
                <w:color w:val="000000"/>
                <w:sz w:val="18"/>
                <w:szCs w:val="18"/>
                <w:lang w:eastAsia="pt-BR"/>
              </w:rPr>
              <w:t>33,8</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2404" w:type="dxa"/>
            <w:cnfStyle w:val="001000000000" w:firstRow="0" w:lastRow="0" w:firstColumn="1" w:lastColumn="0" w:oddVBand="0" w:evenVBand="0" w:oddHBand="0" w:evenHBand="0" w:firstRowFirstColumn="0" w:firstRowLastColumn="0" w:lastRowFirstColumn="0" w:lastRowLastColumn="0"/>
            <w:tcBorders>
              <w:top w:val="nil"/>
              <w:left w:val="nil"/>
              <w:bottom w:val="single" w:sz="8" w:space="0" w:color="000000"/>
              <w:right w:val="nil"/>
            </w:tcBorders>
            <w:shd w:fill="auto" w:val="clear"/>
          </w:tcPr>
          <w:p>
            <w:pPr>
              <w:pStyle w:val="Normal"/>
              <w:spacing w:lineRule="auto" w:line="240" w:before="0" w:after="0"/>
              <w:jc w:val="both"/>
              <w:rPr>
                <w:rFonts w:ascii="Times New Roman" w:hAnsi="Times New Roman" w:eastAsia="Times New Roman" w:cs="Times New Roman"/>
                <w:bCs w:val="false"/>
                <w:color w:val="000000"/>
                <w:sz w:val="18"/>
                <w:szCs w:val="18"/>
              </w:rPr>
            </w:pPr>
            <w:r>
              <w:rPr>
                <w:rFonts w:eastAsia="Times New Roman" w:cs="Times New Roman" w:ascii="Times New Roman" w:hAnsi="Times New Roman"/>
                <w:b/>
                <w:bCs w:val="false"/>
                <w:color w:val="000000"/>
                <w:sz w:val="18"/>
                <w:szCs w:val="18"/>
                <w:lang w:eastAsia="pt-BR"/>
              </w:rPr>
              <w:t>Nordeste</w:t>
            </w:r>
          </w:p>
        </w:tc>
        <w:tc>
          <w:tcPr>
            <w:tcW w:w="1418" w:type="dxa"/>
            <w:tcBorders>
              <w:top w:val="nil"/>
              <w:left w:val="nil"/>
              <w:bottom w:val="single" w:sz="8" w:space="0" w:color="000000"/>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18.082</w:t>
            </w:r>
          </w:p>
        </w:tc>
        <w:tc>
          <w:tcPr>
            <w:tcW w:w="1416" w:type="dxa"/>
            <w:tcBorders>
              <w:top w:val="nil"/>
              <w:left w:val="nil"/>
              <w:bottom w:val="single" w:sz="8" w:space="0" w:color="000000"/>
              <w:right w:val="nil"/>
            </w:tcBorders>
            <w:shd w:fill="auto" w:val="clear"/>
            <w:vAlign w:val="bottom"/>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31.741</w:t>
            </w:r>
          </w:p>
        </w:tc>
        <w:tc>
          <w:tcPr>
            <w:tcW w:w="1429" w:type="dxa"/>
            <w:tcBorders>
              <w:top w:val="nil"/>
              <w:left w:val="nil"/>
              <w:bottom w:val="single" w:sz="8" w:space="0" w:color="000000"/>
              <w:right w:val="nil"/>
            </w:tcBorders>
            <w:shd w:fill="auto" w:val="clear"/>
            <w:vAlign w:val="center"/>
          </w:tcPr>
          <w:p>
            <w:pPr>
              <w:pStyle w:val="Normal"/>
              <w:spacing w:lineRule="auto" w:line="240" w:before="0"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Cs/>
                <w:color w:val="000000"/>
                <w:sz w:val="18"/>
                <w:szCs w:val="18"/>
              </w:rPr>
            </w:pPr>
            <w:r>
              <w:rPr>
                <w:rFonts w:eastAsia="Times New Roman" w:cs="Times New Roman" w:ascii="Times New Roman" w:hAnsi="Times New Roman"/>
                <w:bCs/>
                <w:color w:val="000000"/>
                <w:sz w:val="18"/>
                <w:szCs w:val="18"/>
                <w:lang w:eastAsia="pt-BR"/>
              </w:rPr>
              <w:t>75,5</w:t>
            </w:r>
          </w:p>
        </w:tc>
      </w:tr>
    </w:tbl>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Fonte: RAIS (elaboração própria)</w:t>
      </w:r>
    </w:p>
    <w:p>
      <w:pPr>
        <w:pStyle w:val="Normal"/>
        <w:rPr/>
      </w:pPr>
      <w:r>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1 – Empregos formais em estabelecimentos de TI(sw) por estados do Nordeste em 2007 e 2017</w:t>
      </w:r>
    </w:p>
    <w:p>
      <w:pPr>
        <w:pStyle w:val="Normal"/>
        <w:spacing w:lineRule="auto" w:line="240" w:before="0" w:after="0"/>
        <w:jc w:val="center"/>
        <w:rPr>
          <w:rFonts w:ascii="Times New Roman" w:hAnsi="Times New Roman" w:cs="Times New Roman"/>
          <w:sz w:val="18"/>
          <w:szCs w:val="18"/>
        </w:rPr>
      </w:pPr>
      <w:r>
        <w:rPr/>
        <w:drawing>
          <wp:inline distT="0" distB="0" distL="0" distR="0">
            <wp:extent cx="4572000" cy="27432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Fonte: RAIS (elaboração própria)</w:t>
      </w:r>
    </w:p>
    <w:p>
      <w:pPr>
        <w:pStyle w:val="Normal"/>
        <w:rPr/>
      </w:pPr>
      <w:r>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O segmento de TI(sw) não só apresenta uma predominância masculina, como a proporção de homens, entre 2007 e 2017, seguiu crescendo, passando de menos de 64% para 69% (Gráfico 2).</w:t>
      </w:r>
    </w:p>
    <w:p>
      <w:pPr>
        <w:pStyle w:val="Normal"/>
        <w:rPr/>
      </w:pPr>
      <w:r>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2 – Distribuição dos vínculos de emprego em TI em Pernambuco por sexo</w:t>
      </w:r>
    </w:p>
    <w:p>
      <w:pPr>
        <w:pStyle w:val="Normal"/>
        <w:spacing w:lineRule="auto" w:line="240" w:before="0" w:after="0"/>
        <w:jc w:val="center"/>
        <w:rPr>
          <w:rFonts w:ascii="Arial" w:hAnsi="Arial" w:cs="Arial"/>
          <w:i/>
          <w:i/>
          <w:sz w:val="20"/>
          <w:szCs w:val="20"/>
        </w:rPr>
      </w:pPr>
      <w:r>
        <w:rPr>
          <w:rFonts w:cs="Arial" w:ascii="Arial" w:hAnsi="Arial"/>
          <w:i/>
          <w:sz w:val="20"/>
          <w:szCs w:val="20"/>
        </w:rPr>
        <w:t xml:space="preserve">– </w:t>
      </w:r>
      <w:r>
        <w:rPr>
          <w:rFonts w:cs="Arial" w:ascii="Arial" w:hAnsi="Arial"/>
          <w:i/>
          <w:sz w:val="20"/>
          <w:szCs w:val="20"/>
        </w:rPr>
        <w:t>2007 a 2017</w:t>
      </w:r>
    </w:p>
    <w:p>
      <w:pPr>
        <w:pStyle w:val="Normal"/>
        <w:spacing w:lineRule="auto" w:line="240" w:before="0" w:after="0"/>
        <w:jc w:val="center"/>
        <w:rPr>
          <w:rFonts w:ascii="Arial" w:hAnsi="Arial" w:cs="Arial"/>
          <w:i/>
          <w:i/>
          <w:sz w:val="20"/>
          <w:szCs w:val="20"/>
        </w:rPr>
      </w:pPr>
      <w:r>
        <w:rPr/>
        <w:drawing>
          <wp:inline distT="0" distB="0" distL="0" distR="0">
            <wp:extent cx="4572000" cy="256413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Fonte: RAIS (elaboração própria)</w:t>
      </w:r>
    </w:p>
    <w:p>
      <w:pPr>
        <w:pStyle w:val="Normal"/>
        <w:rPr/>
      </w:pPr>
      <w:r>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Nesse cenário, firmou-se um padrão de remuneração que, como já destacado, encontra-se acima dos níveis médios praticados no estado, seja no emprego formal em geral, seja nos demais segmentos de TIC. Note-se (Gráfico 3), adicionalmente, que ainda houve alguma elevação nos níveis médios de remuneração. Entre 2007 e 2017, o número de empregados no segmento de TI(sw) em Pernambuco que perceberam acima de 3 SM esteve sempre acima de 50%, sendo que se observa uma oscilação para cima com picos em 2010, 2011 e 2014, com 54,2%, 55,3% e 54,6%, respectivamente. </w:t>
      </w:r>
      <w:r>
        <w:rPr>
          <w:rFonts w:cs="Times New Roman" w:ascii="Times New Roman" w:hAnsi="Times New Roman"/>
          <w:color w:val="000000" w:themeColor="text1"/>
          <w:sz w:val="24"/>
          <w:szCs w:val="24"/>
        </w:rPr>
        <w:t>Observe-se, contudo, que entre homens e mulheres as proporções de registros nas faixas inferiores de renda discrepam: para dados de 2017, enquanto perto de 30% dos homens recebeu até 2 SM, entre as mulheres tal proporção chegou a quase 40%. O inverso ocorreu nos estratos acima de 2 SM. Sinaliza-se, assim, no plano local, um viés de gênero na conformação do padrão de relações de trabalho em TI (Bárbara, 2013).</w:t>
      </w:r>
    </w:p>
    <w:p>
      <w:pPr>
        <w:pStyle w:val="Normal"/>
        <w:rPr/>
      </w:pPr>
      <w:r>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3 – Proporção dos vínculos de emprego em TI em Pernambuco com renda média acima de 3 Salários Mínimos – 2007 a 2017</w:t>
      </w:r>
    </w:p>
    <w:p>
      <w:pPr>
        <w:pStyle w:val="Normal"/>
        <w:spacing w:lineRule="auto" w:line="240" w:before="0" w:after="0"/>
        <w:jc w:val="center"/>
        <w:rPr>
          <w:rFonts w:ascii="Times New Roman" w:hAnsi="Times New Roman" w:cs="Times New Roman"/>
        </w:rPr>
      </w:pPr>
      <w:r>
        <w:rPr/>
        <w:drawing>
          <wp:inline distT="0" distB="0" distL="0" distR="0">
            <wp:extent cx="4572000" cy="2079625"/>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spacing w:lineRule="auto" w:line="480" w:before="0" w:after="0"/>
        <w:jc w:val="center"/>
        <w:rPr>
          <w:rFonts w:ascii="Times New Roman" w:hAnsi="Times New Roman" w:cs="Times New Roman"/>
        </w:rPr>
      </w:pPr>
      <w:r>
        <w:rPr>
          <w:rFonts w:cs="Times New Roman" w:ascii="Times New Roman" w:hAnsi="Times New Roman"/>
          <w:sz w:val="18"/>
          <w:szCs w:val="18"/>
        </w:rPr>
        <w:t>Fonte: RAIS (elaboração própria)</w:t>
      </w:r>
    </w:p>
    <w:p>
      <w:pPr>
        <w:pStyle w:val="Normal"/>
        <w:spacing w:lineRule="auto" w:line="259" w:before="0" w:after="160"/>
        <w:rPr/>
      </w:pPr>
      <w:r>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Por meio dos dados da RAIS, que versa sobre os vínculos de empregos formais, foi possível traçar um perfil preliminar dos trabalhadores nas atividades que compõem o segmento de TI(sw), com um foco nos registros de emprego dos estabelecimentos assim identificados.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O caminho seguido procurou realçar as características dessas atividades e dos trabalhadores nelas inseridos: observando-se como se distribuem no país e na região; posicionando-os em perspectiva comparativa em relação aos registros de emprego formal em geral no Brasil, Nordeste e Pernambuco, e em relação a outros importantes segmentos de TIC em Pernambuco (TC, PA e TA); apurando tendências, trazendo mais presentemente variações no tempo quanto a aspectos diversos.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Em geral, foram percorridos aspectos relacionados ao perfil sociodemografico dos trabalhadores (sexo, faixa etária, escolaridade), ao emprego (número e variação no volume de contratação, níveis de renda, nível de renda por sexo, ocupações) e ao tipo de estabelecimento (número e distribuição dos trabalhadores por estratos, disposição geográfica), entre outros.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De tudo, ficou fortemente evidenciado o caráter diferenciado do segmento de TI(sw), sob vários aspectos, seja em relação ao perfil médio do emprego formal em geral nos planos nacional, regional e local, seja em relação aos perfis dos segmentos de TC, PA e TA. Sobretudo, os trabalhadores em TI(sw) em Pernambuco se revelaram marcadamente masculinizados, jovens, dotados de alto padrão de escolarização, beneficiados com salários mais elevados, com significativa concentração de ocupações típicas, entre outros aspectos. Foi possível constatar-se, ainda, que estão presentes claras diferenças de renda entre homens e mulheres, em favor dos primeiros. São constatações que, em geral, confirmam, para o plano local, características e tendências realçadas para os planos mundial e nacional.</w:t>
      </w:r>
    </w:p>
    <w:p>
      <w:pPr>
        <w:pStyle w:val="Normal"/>
        <w:spacing w:lineRule="auto" w:line="259" w:before="0" w:after="160"/>
        <w:rPr/>
      </w:pPr>
      <w:r>
        <w:rPr/>
      </w:r>
      <w:r>
        <w:br w:type="page"/>
      </w:r>
    </w:p>
    <w:p>
      <w:pPr>
        <w:pStyle w:val="Normal"/>
        <w:rPr>
          <w:b/>
          <w:b/>
          <w:sz w:val="28"/>
          <w:szCs w:val="28"/>
        </w:rPr>
      </w:pPr>
      <w:r>
        <w:rPr>
          <w:b/>
          <w:sz w:val="28"/>
          <w:szCs w:val="28"/>
        </w:rPr>
        <w:t xml:space="preserve">PARTE II – OS/AS TRABALHADORES/AS EM TI NA RM DE RECIFE, SEGUNDO </w:t>
      </w:r>
      <w:r>
        <w:rPr>
          <w:b/>
          <w:i/>
          <w:sz w:val="28"/>
          <w:szCs w:val="28"/>
        </w:rPr>
        <w:t>SURVEY</w:t>
      </w:r>
      <w:r>
        <w:rPr>
          <w:b/>
          <w:sz w:val="28"/>
          <w:szCs w:val="28"/>
        </w:rPr>
        <w:t xml:space="preserve"> APLICADO NA BASE DO SINDPD-PE</w:t>
      </w:r>
    </w:p>
    <w:p>
      <w:pPr>
        <w:pStyle w:val="Normal"/>
        <w:rPr/>
      </w:pPr>
      <w:r>
        <w:rPr/>
      </w:r>
    </w:p>
    <w:p>
      <w:pPr>
        <w:pStyle w:val="Normal"/>
        <w:rPr>
          <w:b/>
          <w:b/>
        </w:rPr>
      </w:pPr>
      <w:r>
        <w:rPr>
          <w:b/>
        </w:rPr>
        <w:t>2.1. Notas Metodológicas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Definiu-se por uma pesquisa quantitativa realizada com base em uma amostra probabilística, com representatividade estatística. Para a delimitação do universo do </w:t>
      </w:r>
      <w:r>
        <w:rPr>
          <w:rFonts w:cs="Times New Roman" w:ascii="Times New Roman" w:hAnsi="Times New Roman"/>
          <w:i/>
          <w:sz w:val="24"/>
          <w:szCs w:val="24"/>
        </w:rPr>
        <w:t>survey</w:t>
      </w:r>
      <w:r>
        <w:rPr>
          <w:rFonts w:cs="Times New Roman" w:ascii="Times New Roman" w:hAnsi="Times New Roman"/>
          <w:sz w:val="24"/>
          <w:szCs w:val="24"/>
        </w:rPr>
        <w:t xml:space="preserve"> o parâmetro adotado foi a base formal de representação do SINDPD-PE, os “trabalhadores em empresas de informática, processamento de dados e tecnologia da informação de Pernambuco”.</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Partindo-se dessa definição prévia, foi contudo necessário proceder-se a uma maior especificação desse recorte por razões, combinadamente, metodológicas e operacionais. Ao final, o universo a ser pesquisado ficou assim delimitado:</w:t>
      </w:r>
    </w:p>
    <w:p>
      <w:pPr>
        <w:pStyle w:val="Normal"/>
        <w:numPr>
          <w:ilvl w:val="0"/>
          <w:numId w:val="4"/>
        </w:numPr>
        <w:spacing w:lineRule="auto" w:line="360"/>
        <w:jc w:val="both"/>
        <w:rPr/>
      </w:pPr>
      <w:r>
        <w:rPr>
          <w:rFonts w:cs="Times New Roman" w:ascii="Times New Roman" w:hAnsi="Times New Roman"/>
          <w:sz w:val="24"/>
          <w:szCs w:val="24"/>
        </w:rPr>
        <w:t xml:space="preserve">Mesmo considerando-se que entre os/as “trabalhadores/as de tecnologia da informação”, há assalariados e não-assalariados, formais e informais, empregados e desempregados, para efeito de delimitação da base social do SINDPD-PE o que mais interessa são os/as trabalhadores/as empregados e formalizados. Não foram, portanto, incluídas no </w:t>
      </w:r>
      <w:r>
        <w:rPr>
          <w:rFonts w:cs="Times New Roman" w:ascii="Times New Roman" w:hAnsi="Times New Roman"/>
          <w:i/>
          <w:sz w:val="24"/>
          <w:szCs w:val="24"/>
        </w:rPr>
        <w:t>survey</w:t>
      </w:r>
      <w:r>
        <w:rPr>
          <w:rFonts w:cs="Times New Roman" w:ascii="Times New Roman" w:hAnsi="Times New Roman"/>
          <w:sz w:val="24"/>
          <w:szCs w:val="24"/>
        </w:rPr>
        <w:t xml:space="preserve"> formas de trabalho autônomo, a exemplo dos </w:t>
      </w:r>
      <w:r>
        <w:rPr>
          <w:rFonts w:cs="Times New Roman" w:ascii="Times New Roman" w:hAnsi="Times New Roman"/>
          <w:i/>
          <w:sz w:val="24"/>
          <w:szCs w:val="24"/>
        </w:rPr>
        <w:t>PJs</w:t>
      </w:r>
      <w:r>
        <w:rPr>
          <w:rStyle w:val="Ncoradanotaderodap"/>
          <w:rFonts w:cs="Times New Roman" w:ascii="Times New Roman" w:hAnsi="Times New Roman"/>
          <w:sz w:val="24"/>
          <w:szCs w:val="24"/>
          <w:vertAlign w:val="superscript"/>
        </w:rPr>
        <w:footnoteReference w:id="7"/>
      </w:r>
      <w:r>
        <w:rPr>
          <w:rFonts w:cs="Times New Roman" w:ascii="Times New Roman" w:hAnsi="Times New Roman"/>
          <w:sz w:val="24"/>
          <w:szCs w:val="24"/>
        </w:rPr>
        <w:t>. Já vimos (</w:t>
      </w:r>
      <w:r>
        <w:rPr>
          <w:rFonts w:cs="Times New Roman" w:ascii="Times New Roman" w:hAnsi="Times New Roman"/>
          <w:color w:val="000000" w:themeColor="text1"/>
          <w:sz w:val="24"/>
          <w:szCs w:val="24"/>
        </w:rPr>
        <w:t>Tabela 30</w:t>
      </w:r>
      <w:r>
        <w:rPr>
          <w:rFonts w:cs="Times New Roman" w:ascii="Times New Roman" w:hAnsi="Times New Roman"/>
          <w:sz w:val="24"/>
          <w:szCs w:val="24"/>
        </w:rPr>
        <w:t xml:space="preserve">) que o número de estabelecimentos com “zero” trabalhadores contratados pode ser tomado como uma </w:t>
      </w:r>
      <w:r>
        <w:rPr>
          <w:rFonts w:cs="Times New Roman" w:ascii="Times New Roman" w:hAnsi="Times New Roman"/>
          <w:i/>
          <w:sz w:val="24"/>
          <w:szCs w:val="24"/>
        </w:rPr>
        <w:t>proxi</w:t>
      </w:r>
      <w:r>
        <w:rPr>
          <w:rFonts w:cs="Times New Roman" w:ascii="Times New Roman" w:hAnsi="Times New Roman"/>
          <w:sz w:val="24"/>
          <w:szCs w:val="24"/>
        </w:rPr>
        <w:t xml:space="preserve"> do contrato de tipo PJ, que representava, em 2016, 12,5% do número de estabelecimentos registrados como de produção e serviços de </w:t>
      </w:r>
      <w:r>
        <w:rPr>
          <w:rFonts w:cs="Times New Roman" w:ascii="Times New Roman" w:hAnsi="Times New Roman"/>
          <w:i/>
          <w:sz w:val="24"/>
          <w:szCs w:val="24"/>
        </w:rPr>
        <w:t>software</w:t>
      </w:r>
      <w:r>
        <w:rPr>
          <w:rFonts w:cs="Times New Roman" w:ascii="Times New Roman" w:hAnsi="Times New Roman"/>
          <w:sz w:val="24"/>
          <w:szCs w:val="24"/>
        </w:rPr>
        <w:t xml:space="preserve"> em Pernambuco.</w:t>
      </w:r>
    </w:p>
    <w:p>
      <w:pPr>
        <w:pStyle w:val="Normal"/>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Para dar consequência a tal delimitação, foram identificadas as atividades que no âmbito da Classificação Nacional de Atividades Econômicas – CNAE expressam mais fielmente a base social do SINDPD-PE: as representadas nos </w:t>
      </w:r>
      <w:r>
        <w:rPr>
          <w:rFonts w:cs="Times New Roman" w:ascii="Times New Roman" w:hAnsi="Times New Roman"/>
          <w:i/>
          <w:sz w:val="24"/>
          <w:szCs w:val="24"/>
        </w:rPr>
        <w:t>Grupos</w:t>
      </w:r>
      <w:r>
        <w:rPr>
          <w:rFonts w:cs="Times New Roman" w:ascii="Times New Roman" w:hAnsi="Times New Roman"/>
          <w:sz w:val="24"/>
          <w:szCs w:val="24"/>
        </w:rPr>
        <w:t xml:space="preserve"> 620 (“Atividades dos serviços de tecnologia da informação”) e 631 (“Tratamento de dados, hospedagem na internet e outras atividades relacionadas”)</w:t>
      </w:r>
      <w:r>
        <w:rPr>
          <w:rStyle w:val="Ncoradanotaderodap"/>
          <w:vertAlign w:val="superscript"/>
        </w:rPr>
        <w:footnoteReference w:id="8"/>
      </w:r>
      <w:r>
        <w:rPr>
          <w:rFonts w:cs="Times New Roman" w:ascii="Times New Roman" w:hAnsi="Times New Roman"/>
          <w:sz w:val="24"/>
          <w:szCs w:val="24"/>
        </w:rPr>
        <w:t xml:space="preserve">.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Por razões práticas, foi definido ainda o foco na Região Metropolitana de Recife, que em 2016 compreendia mais de 95% dos vínculos de emprego e mais de 85% dos estabelecimentos de Pernambuco, segundo os dados da RAIS.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Ficou estabelecido (com o suporte do estatístico responsável) que a pesquisa seria baseada em uma amostra probabilística, aleatória e representativa, constituída por sorteio, como garantia de probabilidades iguais de sorteio para todos os subgrupos do universo estudado.</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Com vistas à determinação do tamanho do universo da pesquisa, a partir dos dados da RAIS 2014, utilizando-se os filtros dos códigos 620 e 631 da CNAE, foram identificados 10.469 vínculos de emprego.</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O tamanho da amostra foi calculado de forma que, para a estimação de uma proporção sob amostragem aleatória simples com nível de confiança de 95%, a margem de erro fosse de 3.9%. Com isso foi projetado (levando-se também em conta os limites do orçamento) um número mínimo de </w:t>
      </w:r>
      <w:r>
        <w:rPr>
          <w:rFonts w:cs="Times New Roman" w:ascii="Times New Roman" w:hAnsi="Times New Roman"/>
          <w:color w:val="000000" w:themeColor="text1"/>
          <w:sz w:val="24"/>
          <w:szCs w:val="24"/>
        </w:rPr>
        <w:t>600 questionários a serem aplicados</w:t>
      </w:r>
      <w:r>
        <w:rPr>
          <w:rStyle w:val="Ncoradanotaderodap"/>
          <w:rFonts w:cs="Times New Roman" w:ascii="Times New Roman" w:hAnsi="Times New Roman"/>
          <w:sz w:val="24"/>
          <w:szCs w:val="24"/>
          <w:vertAlign w:val="superscript"/>
        </w:rPr>
        <w:footnoteReference w:id="9"/>
      </w:r>
      <w:r>
        <w:rPr>
          <w:rFonts w:cs="Times New Roman" w:ascii="Times New Roman" w:hAnsi="Times New Roman"/>
          <w:sz w:val="24"/>
          <w:szCs w:val="24"/>
        </w:rPr>
        <w:t>.</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O primeiro passo na determinação do plano amostral consistiu em estratificar o universo de trabalhadores em dois grupos (tomando-os como populações diferentes que devem ser tratadas sob critérios e procedimentos de pesquisa diferenciados): um reunindo os/as trabalhadores/as das empresas privadas (com 8.840 vínculos de emprego, representando 84,4% do total) e outro agregando os/as trabalhadores/as das empresas públicas (com 1.629 vínculos de emprego, representando 15,6% do total).</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Os questionários foram divididos dentro dos grupos, levando em conta a proporção de trabalhadores observada em cada um. Dentro de cada grupo, foram computadas cotas não-cruzadas de Sexo, Faixa Etária e Escolaridade. Estas cotas buscaram evitar que os pesquisadores de campo enviesassem a seleção das unidades amostrais nesta fase. Dado o número de questionários de cada grupo, cotas cruzadas não foram aplicadas (visto que não são viáveis, exceto para o grupo de mais de 400 empregados). Optou-se, ainda, por não estratificar por Escolaridade as empresas com até 10 empregados, considerando que  este número é muito baixo para proceder a muitas estratificações.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No interior do grupo de até 10 empregados, foi procedida uma estratificação subsequente para garantir melhor representatividade dos diversos tipos de empresa que compõem esse grupo. Para cada estrato desse grupo foi destinada uma cota de questionários.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O questionário, concebido para apreender dos entrevistados os traços marcantes de seu perfil social, político, cultural e profissional, foi estruturado para contemplar um conjunto amplo e articulado de aspectos que envolvem cotidianamente a vida dos/as trabalhadores/as, tendo se desdobrado em nove temas estruturantes (ver Figura 1): 1. Dados sociodemográficos; 2. Trabalho; 3. Família; 4. Escola; 5. Religião; 6. Vida social e amizade; 7. Política; 8. Sindicato; 9. Outras opiniões.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A execução do plano levou em conta a distinção das empresas entre públicas e privadas, o grau de dificuldade de acesso aos entrevistados e o tamanho da cota de questionários a serem aplicados.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Quanto às empresas públicas, por serem em menor quantidade, com número médio elevado de empregados e passíveis de um trato mais fácil com as respectivas gerências, foram escalados dois pesquisadores para aplicar os questionários por empresa.</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No que se refere às empresas privadas, pelo grande número e a pulverização, foi necessário dispor de um plano mais complexo. Para facilitar o trabalho, foram identificados 4 (quatro) conglomerados principais (Mapa 1):</w:t>
      </w:r>
    </w:p>
    <w:p>
      <w:pPr>
        <w:pStyle w:val="Normal"/>
        <w:numPr>
          <w:ilvl w:val="0"/>
          <w:numId w:val="1"/>
        </w:numPr>
        <w:spacing w:lineRule="auto" w:line="360" w:before="0" w:after="0"/>
        <w:ind w:left="1281" w:hanging="357"/>
        <w:jc w:val="both"/>
        <w:rPr>
          <w:rFonts w:ascii="Times New Roman" w:hAnsi="Times New Roman" w:cs="Times New Roman"/>
          <w:sz w:val="24"/>
          <w:szCs w:val="24"/>
        </w:rPr>
      </w:pPr>
      <w:r>
        <w:rPr>
          <w:rFonts w:cs="Times New Roman" w:ascii="Times New Roman" w:hAnsi="Times New Roman"/>
          <w:sz w:val="24"/>
          <w:szCs w:val="24"/>
        </w:rPr>
        <w:t xml:space="preserve">Conglomerado Sul: Boa Viagem, Pina, Piedade; </w:t>
      </w:r>
    </w:p>
    <w:p>
      <w:pPr>
        <w:pStyle w:val="Normal"/>
        <w:numPr>
          <w:ilvl w:val="0"/>
          <w:numId w:val="1"/>
        </w:numPr>
        <w:spacing w:lineRule="auto" w:line="360" w:before="0" w:after="0"/>
        <w:ind w:left="1281" w:hanging="357"/>
        <w:jc w:val="both"/>
        <w:rPr>
          <w:rFonts w:ascii="Times New Roman" w:hAnsi="Times New Roman" w:cs="Times New Roman"/>
          <w:sz w:val="24"/>
          <w:szCs w:val="24"/>
        </w:rPr>
      </w:pPr>
      <w:r>
        <w:rPr>
          <w:rFonts w:cs="Times New Roman" w:ascii="Times New Roman" w:hAnsi="Times New Roman"/>
          <w:sz w:val="24"/>
          <w:szCs w:val="24"/>
        </w:rPr>
        <w:t xml:space="preserve">Conglomerado Centro: Bairro do Recife, Santo Antônio, São José, Boa Vista e Santo Amaro; </w:t>
      </w:r>
    </w:p>
    <w:p>
      <w:pPr>
        <w:pStyle w:val="Normal"/>
        <w:numPr>
          <w:ilvl w:val="0"/>
          <w:numId w:val="1"/>
        </w:numPr>
        <w:spacing w:lineRule="auto" w:line="360" w:before="0" w:after="0"/>
        <w:ind w:left="1281" w:hanging="357"/>
        <w:jc w:val="both"/>
        <w:rPr>
          <w:rFonts w:ascii="Times New Roman" w:hAnsi="Times New Roman" w:cs="Times New Roman"/>
          <w:sz w:val="24"/>
          <w:szCs w:val="24"/>
        </w:rPr>
      </w:pPr>
      <w:r>
        <w:rPr>
          <w:rFonts w:cs="Times New Roman" w:ascii="Times New Roman" w:hAnsi="Times New Roman"/>
          <w:sz w:val="24"/>
          <w:szCs w:val="24"/>
        </w:rPr>
        <w:t xml:space="preserve">Conglomerado Centro-Oeste: Derby, Espinheiro, Graças, Madalena, Cordeiro e Poço da Panela; </w:t>
      </w:r>
    </w:p>
    <w:p>
      <w:pPr>
        <w:pStyle w:val="Normal"/>
        <w:numPr>
          <w:ilvl w:val="0"/>
          <w:numId w:val="1"/>
        </w:numPr>
        <w:spacing w:lineRule="auto" w:line="360" w:before="0" w:after="0"/>
        <w:ind w:left="1281" w:hanging="357"/>
        <w:jc w:val="both"/>
        <w:rPr>
          <w:rFonts w:ascii="Times New Roman" w:hAnsi="Times New Roman" w:cs="Times New Roman"/>
          <w:sz w:val="24"/>
          <w:szCs w:val="24"/>
        </w:rPr>
      </w:pPr>
      <w:r>
        <w:rPr>
          <w:rFonts w:cs="Times New Roman" w:ascii="Times New Roman" w:hAnsi="Times New Roman"/>
          <w:sz w:val="24"/>
          <w:szCs w:val="24"/>
        </w:rPr>
        <w:t>Conglomerado Norte: Encruzilhada e bairros de Olinda/Paulista</w:t>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Mapa 1 – Concentração das empresas privadas de TI na RMR</w:t>
      </w:r>
      <w:r>
        <w:rPr>
          <w:rStyle w:val="Ncoradanotaderodap"/>
          <w:rFonts w:cs="Times New Roman" w:ascii="Times New Roman" w:hAnsi="Times New Roman"/>
          <w:i/>
          <w:sz w:val="24"/>
          <w:szCs w:val="24"/>
          <w:vertAlign w:val="superscript"/>
        </w:rPr>
        <w:footnoteReference w:id="10"/>
      </w:r>
    </w:p>
    <w:p>
      <w:pPr>
        <w:pStyle w:val="Normal"/>
        <w:spacing w:lineRule="auto" w:line="240" w:before="0" w:after="0"/>
        <w:ind w:right="-142" w:hanging="0"/>
        <w:jc w:val="center"/>
        <w:rPr>
          <w:rFonts w:ascii="Arial" w:hAnsi="Arial" w:cs="Arial"/>
          <w:color w:val="000000" w:themeColor="text1"/>
          <w:sz w:val="24"/>
          <w:szCs w:val="24"/>
        </w:rPr>
      </w:pPr>
      <w:r>
        <w:rPr/>
        <w:drawing>
          <wp:inline distT="0" distB="0" distL="0" distR="635">
            <wp:extent cx="4210050" cy="5719445"/>
            <wp:effectExtent l="0" t="0" r="0" b="0"/>
            <wp:docPr id="5" name="Figura1" descr="C:\Users\João Feitosa\Documents\Norte pesquisa\PESQUISA SINDPD\Pesquisa_ker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descr="C:\Users\João Feitosa\Documents\Norte pesquisa\PESQUISA SINDPD\Pesquisa_kernel.jpg"/>
                    <pic:cNvPicPr>
                      <a:picLocks noChangeAspect="1" noChangeArrowheads="1"/>
                    </pic:cNvPicPr>
                  </pic:nvPicPr>
                  <pic:blipFill>
                    <a:blip r:embed="rId6"/>
                    <a:srcRect l="0" t="0" r="0" b="3949"/>
                    <a:stretch>
                      <a:fillRect/>
                    </a:stretch>
                  </pic:blipFill>
                  <pic:spPr bwMode="auto">
                    <a:xfrm>
                      <a:off x="0" y="0"/>
                      <a:ext cx="4210050" cy="5719445"/>
                    </a:xfrm>
                    <a:prstGeom prst="rect">
                      <a:avLst/>
                    </a:prstGeom>
                  </pic:spPr>
                </pic:pic>
              </a:graphicData>
            </a:graphic>
          </wp:inline>
        </w:drawing>
      </w:r>
    </w:p>
    <w:p>
      <w:pPr>
        <w:pStyle w:val="Normal"/>
        <w:ind w:right="-143" w:hanging="0"/>
        <w:jc w:val="center"/>
        <w:rPr>
          <w:rFonts w:ascii="Arial" w:hAnsi="Arial" w:cs="Arial"/>
          <w:color w:val="000000" w:themeColor="text1"/>
          <w:sz w:val="24"/>
          <w:szCs w:val="24"/>
        </w:rPr>
      </w:pPr>
      <w:r>
        <w:rPr>
          <w:rFonts w:cs="Times New Roman" w:ascii="Times New Roman" w:hAnsi="Times New Roman"/>
          <w:sz w:val="20"/>
          <w:szCs w:val="20"/>
        </w:rPr>
        <w:t>Elaborado por Pedro César Gondim Feitosa</w:t>
      </w:r>
    </w:p>
    <w:p>
      <w:pPr>
        <w:pStyle w:val="Normal"/>
        <w:spacing w:lineRule="auto" w:line="360" w:before="0" w:after="0"/>
        <w:ind w:firstLine="567"/>
        <w:jc w:val="both"/>
        <w:rPr/>
      </w:pPr>
      <w:r>
        <w:rPr/>
      </w:r>
    </w:p>
    <w:p>
      <w:pPr>
        <w:pStyle w:val="Normal"/>
        <w:spacing w:lineRule="auto" w:line="360" w:before="0" w:after="0"/>
        <w:ind w:firstLine="567"/>
        <w:jc w:val="both"/>
        <w:rPr/>
      </w:pPr>
      <w:r>
        <w:rPr/>
        <w:t>A pesquisa foi realizada de julho a novembro de 2017.</w:t>
      </w:r>
    </w:p>
    <w:p>
      <w:pPr>
        <w:pStyle w:val="Normal"/>
        <w:spacing w:lineRule="auto" w:line="360" w:before="0" w:after="0"/>
        <w:ind w:firstLine="567"/>
        <w:jc w:val="both"/>
        <w:rPr/>
      </w:pPr>
      <w:r>
        <w:rPr/>
      </w:r>
    </w:p>
    <w:p>
      <w:pPr>
        <w:pStyle w:val="Normal"/>
        <w:rPr>
          <w:b/>
          <w:b/>
        </w:rPr>
      </w:pPr>
      <w:r>
        <w:rPr>
          <w:b/>
        </w:rPr>
        <w:t>2.1. Dados Sóciodemográficos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Comecemos pela distribuição dos entrevistados por </w:t>
      </w:r>
      <w:r>
        <w:rPr>
          <w:rFonts w:cs="Times New Roman" w:ascii="Times New Roman" w:hAnsi="Times New Roman"/>
          <w:i/>
          <w:sz w:val="24"/>
          <w:szCs w:val="24"/>
        </w:rPr>
        <w:t>sexo</w:t>
      </w:r>
      <w:r>
        <w:rPr>
          <w:rFonts w:cs="Times New Roman" w:ascii="Times New Roman" w:hAnsi="Times New Roman"/>
          <w:sz w:val="24"/>
          <w:szCs w:val="24"/>
        </w:rPr>
        <w:t>. O Gráfico 4 evidencia a predominância masculina típica do setor.</w:t>
      </w:r>
    </w:p>
    <w:p>
      <w:pPr>
        <w:pStyle w:val="Normal"/>
        <w:rPr/>
      </w:pPr>
      <w:r>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4 – Distribuição dos Entrevistados por Sexo</w:t>
      </w:r>
    </w:p>
    <w:p>
      <w:pPr>
        <w:pStyle w:val="Normal"/>
        <w:spacing w:lineRule="auto" w:line="240" w:before="0" w:after="0"/>
        <w:jc w:val="center"/>
        <w:rPr>
          <w:rFonts w:ascii="Arial" w:hAnsi="Arial" w:cs="Arial"/>
          <w:i/>
          <w:i/>
          <w:sz w:val="20"/>
          <w:szCs w:val="20"/>
        </w:rPr>
      </w:pPr>
      <w:r>
        <w:rPr/>
        <w:drawing>
          <wp:inline distT="0" distB="0" distL="0" distR="0">
            <wp:extent cx="4065270" cy="149225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spacing w:lineRule="auto" w:line="240" w:before="0" w:after="0"/>
        <w:ind w:left="708" w:firstLine="708"/>
        <w:rPr>
          <w:rFonts w:ascii="Times New Roman" w:hAnsi="Times New Roman" w:cs="Times New Roman"/>
          <w:sz w:val="18"/>
          <w:szCs w:val="18"/>
        </w:rPr>
      </w:pPr>
      <w:r>
        <w:rPr>
          <w:rFonts w:cs="Times New Roman" w:ascii="Times New Roman" w:hAnsi="Times New Roman"/>
          <w:sz w:val="18"/>
          <w:szCs w:val="18"/>
        </w:rPr>
        <w:t>Fonte: Survey SINDPD-PE 2017</w:t>
      </w:r>
    </w:p>
    <w:p>
      <w:pPr>
        <w:pStyle w:val="Normal"/>
        <w:rPr/>
      </w:pPr>
      <w:r>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No item </w:t>
      </w:r>
      <w:r>
        <w:rPr>
          <w:rFonts w:cs="Times New Roman" w:ascii="Times New Roman" w:hAnsi="Times New Roman"/>
          <w:i/>
          <w:sz w:val="24"/>
          <w:szCs w:val="24"/>
        </w:rPr>
        <w:t>faixa etária</w:t>
      </w:r>
      <w:r>
        <w:rPr>
          <w:rFonts w:cs="Times New Roman" w:ascii="Times New Roman" w:hAnsi="Times New Roman"/>
          <w:sz w:val="24"/>
          <w:szCs w:val="24"/>
        </w:rPr>
        <w:t xml:space="preserve">, os entrevistados se distribuíram conforme o Gráfico 5. Nota-se evidente predominância de empregados com 26 a 35 anos (48%). Somando-se estes aos de 21 a 25 anos (17%), constata-se que 65% se situam entre 21 e 35 anos, revelando uma composição predominantemente jovem. </w:t>
      </w:r>
    </w:p>
    <w:p>
      <w:pPr>
        <w:pStyle w:val="Normal"/>
        <w:rPr/>
      </w:pPr>
      <w:r>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5 – Distribuição dos Entrevistados por Faixa Etária</w:t>
      </w:r>
    </w:p>
    <w:p>
      <w:pPr>
        <w:pStyle w:val="Normal"/>
        <w:spacing w:lineRule="auto" w:line="240" w:before="0" w:after="0"/>
        <w:jc w:val="center"/>
        <w:rPr>
          <w:rFonts w:ascii="Arial" w:hAnsi="Arial" w:cs="Arial"/>
          <w:i/>
          <w:i/>
          <w:sz w:val="20"/>
          <w:szCs w:val="20"/>
        </w:rPr>
      </w:pPr>
      <w:r>
        <w:rPr/>
        <w:drawing>
          <wp:inline distT="0" distB="0" distL="0" distR="0">
            <wp:extent cx="4508500" cy="227266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spacing w:lineRule="auto" w:line="240" w:before="0" w:after="0"/>
        <w:ind w:left="708"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pPr>
      <w:r>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Quanto ao </w:t>
      </w:r>
      <w:r>
        <w:rPr>
          <w:rFonts w:cs="Times New Roman" w:ascii="Times New Roman" w:hAnsi="Times New Roman"/>
          <w:i/>
          <w:sz w:val="24"/>
          <w:szCs w:val="24"/>
        </w:rPr>
        <w:t>estado civil</w:t>
      </w:r>
      <w:r>
        <w:rPr>
          <w:rFonts w:cs="Times New Roman" w:ascii="Times New Roman" w:hAnsi="Times New Roman"/>
          <w:sz w:val="24"/>
          <w:szCs w:val="24"/>
        </w:rPr>
        <w:t>, vê-se que mais de 50% dos entrevistados eram constituídos de solteiros, mas que os casados também reuniam uma fatia muito expressiva.</w:t>
      </w:r>
    </w:p>
    <w:p>
      <w:pPr>
        <w:pStyle w:val="Normal"/>
        <w:rPr/>
      </w:pPr>
      <w:r>
        <w:rPr/>
      </w:r>
    </w:p>
    <w:p>
      <w:pPr>
        <w:pStyle w:val="Normal"/>
        <w:spacing w:lineRule="auto" w:line="240" w:before="0" w:after="0"/>
        <w:jc w:val="center"/>
        <w:rPr>
          <w:rFonts w:ascii="Times New Roman" w:hAnsi="Times New Roman" w:cs="Times New Roman"/>
          <w:b/>
          <w:b/>
          <w:sz w:val="24"/>
          <w:szCs w:val="24"/>
        </w:rPr>
      </w:pPr>
      <w:r>
        <w:rPr>
          <w:rFonts w:cs="Arial" w:ascii="Arial" w:hAnsi="Arial"/>
          <w:i/>
          <w:sz w:val="20"/>
          <w:szCs w:val="20"/>
        </w:rPr>
        <w:t>Gráfico 6 – Distribuição dos Entrevistados por Estado Civil</w:t>
      </w:r>
    </w:p>
    <w:p>
      <w:pPr>
        <w:pStyle w:val="Normal"/>
        <w:spacing w:lineRule="auto" w:line="360" w:before="0" w:after="0"/>
        <w:ind w:firstLine="567"/>
        <w:jc w:val="center"/>
        <w:rPr>
          <w:rFonts w:ascii="Times New Roman" w:hAnsi="Times New Roman" w:cs="Times New Roman"/>
          <w:sz w:val="24"/>
          <w:szCs w:val="24"/>
        </w:rPr>
      </w:pPr>
      <w:r>
        <w:rPr/>
        <w:drawing>
          <wp:inline distT="0" distB="0" distL="0" distR="0">
            <wp:extent cx="3678555" cy="2084705"/>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pPr>
      <w:r>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Passando à distribuição dos entrevistados por </w:t>
      </w:r>
      <w:r>
        <w:rPr>
          <w:rFonts w:cs="Times New Roman" w:ascii="Times New Roman" w:hAnsi="Times New Roman"/>
          <w:i/>
          <w:sz w:val="24"/>
          <w:szCs w:val="24"/>
        </w:rPr>
        <w:t>cor/raça</w:t>
      </w:r>
      <w:r>
        <w:rPr>
          <w:rFonts w:cs="Times New Roman" w:ascii="Times New Roman" w:hAnsi="Times New Roman"/>
          <w:sz w:val="24"/>
          <w:szCs w:val="24"/>
        </w:rPr>
        <w:t xml:space="preserve">, constata-se que 10% se declarou </w:t>
      </w:r>
      <w:r>
        <w:rPr>
          <w:rFonts w:cs="Times New Roman" w:ascii="Times New Roman" w:hAnsi="Times New Roman"/>
          <w:i/>
          <w:sz w:val="24"/>
          <w:szCs w:val="24"/>
        </w:rPr>
        <w:t>preta</w:t>
      </w:r>
      <w:r>
        <w:rPr>
          <w:rFonts w:cs="Times New Roman" w:ascii="Times New Roman" w:hAnsi="Times New Roman"/>
          <w:sz w:val="24"/>
          <w:szCs w:val="24"/>
        </w:rPr>
        <w:t xml:space="preserve"> (sendo que um percentual perto de zero se definiu como de cor/raça </w:t>
      </w:r>
      <w:r>
        <w:rPr>
          <w:rFonts w:cs="Times New Roman" w:ascii="Times New Roman" w:hAnsi="Times New Roman"/>
          <w:i/>
          <w:sz w:val="24"/>
          <w:szCs w:val="24"/>
        </w:rPr>
        <w:t>negra),</w:t>
      </w:r>
      <w:r>
        <w:rPr>
          <w:rFonts w:cs="Times New Roman" w:ascii="Times New Roman" w:hAnsi="Times New Roman"/>
          <w:sz w:val="24"/>
          <w:szCs w:val="24"/>
        </w:rPr>
        <w:t xml:space="preserve"> ao mesmo tempo em que quase 50% se viu como </w:t>
      </w:r>
      <w:r>
        <w:rPr>
          <w:rFonts w:cs="Times New Roman" w:ascii="Times New Roman" w:hAnsi="Times New Roman"/>
          <w:i/>
          <w:sz w:val="24"/>
          <w:szCs w:val="24"/>
        </w:rPr>
        <w:t>parda</w:t>
      </w:r>
      <w:r>
        <w:rPr>
          <w:rFonts w:cs="Times New Roman" w:ascii="Times New Roman" w:hAnsi="Times New Roman"/>
          <w:sz w:val="24"/>
          <w:szCs w:val="24"/>
        </w:rPr>
        <w:t>. Curiosa também a presença dos que se reconheceram como amarelos, em torno de 4%. Ver gráfico 7.</w:t>
      </w:r>
    </w:p>
    <w:p>
      <w:pPr>
        <w:pStyle w:val="Normal"/>
        <w:rPr/>
      </w:pPr>
      <w:r>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7 – Distribuição dos Entrevistados por Cor ou Raça</w:t>
      </w:r>
    </w:p>
    <w:p>
      <w:pPr>
        <w:pStyle w:val="Normal"/>
        <w:spacing w:lineRule="auto" w:line="240" w:before="0" w:after="0"/>
        <w:jc w:val="center"/>
        <w:rPr>
          <w:rFonts w:ascii="Arial" w:hAnsi="Arial" w:cs="Arial"/>
          <w:i/>
          <w:i/>
          <w:sz w:val="20"/>
          <w:szCs w:val="20"/>
        </w:rPr>
      </w:pPr>
      <w:r>
        <w:rPr/>
        <w:drawing>
          <wp:inline distT="0" distB="0" distL="0" distR="0">
            <wp:extent cx="4283710" cy="237109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spacing w:lineRule="auto" w:line="240" w:before="0" w:after="0"/>
        <w:ind w:left="708"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pPr>
      <w:r>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Perguntado sobre </w:t>
      </w:r>
      <w:r>
        <w:rPr>
          <w:rFonts w:cs="Times New Roman" w:ascii="Times New Roman" w:hAnsi="Times New Roman"/>
          <w:i/>
          <w:sz w:val="24"/>
          <w:szCs w:val="24"/>
        </w:rPr>
        <w:t>nível de escolaridade</w:t>
      </w:r>
      <w:r>
        <w:rPr>
          <w:rFonts w:cs="Times New Roman" w:ascii="Times New Roman" w:hAnsi="Times New Roman"/>
          <w:sz w:val="24"/>
          <w:szCs w:val="24"/>
        </w:rPr>
        <w:t>, os entrevistados acusaram ter concluído o ensino superior em 42%, o que somado ao superior incompleto (com 25%) totalizou 67%. A esses se somando os com especialização, mestrado e doutorado, temos um total de pouco mais de 89%. Confirma-se, assim, o alto grau de escolaridade desse segmento de trabalhadores.</w:t>
      </w:r>
    </w:p>
    <w:p>
      <w:pPr>
        <w:pStyle w:val="Normal"/>
        <w:rPr/>
      </w:pPr>
      <w:r>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8 – Distribuição dos Entrevistados por Nível de Escolaridade</w:t>
      </w:r>
    </w:p>
    <w:p>
      <w:pPr>
        <w:pStyle w:val="Normal"/>
        <w:spacing w:lineRule="auto" w:line="360" w:before="0" w:after="0"/>
        <w:ind w:firstLine="567"/>
        <w:jc w:val="center"/>
        <w:rPr>
          <w:rFonts w:ascii="Times New Roman" w:hAnsi="Times New Roman" w:cs="Times New Roman"/>
          <w:sz w:val="24"/>
          <w:szCs w:val="24"/>
        </w:rPr>
      </w:pPr>
      <w:r>
        <w:rPr/>
        <w:drawing>
          <wp:inline distT="0" distB="0" distL="0" distR="0">
            <wp:extent cx="4321810" cy="2209800"/>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Normal"/>
        <w:spacing w:lineRule="auto" w:line="240" w:before="0" w:after="0"/>
        <w:ind w:left="708"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360"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A seguir apresentamos um quadro-síntese do perfil sociodemográfico dos entrevistados (Quadro 1).</w:t>
      </w:r>
    </w:p>
    <w:p>
      <w:pPr>
        <w:pStyle w:val="Normal"/>
        <w:rPr/>
      </w:pPr>
      <w:r>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Quadro 1 – Síntese do Perfil Sociodemográfico dos Entrevistados</w:t>
      </w:r>
    </w:p>
    <w:tbl>
      <w:tblPr>
        <w:tblStyle w:val="TabeladeGrade2-nfase3"/>
        <w:tblW w:w="8493" w:type="dxa"/>
        <w:jc w:val="left"/>
        <w:tblInd w:w="0" w:type="dxa"/>
        <w:tblCellMar>
          <w:top w:w="0" w:type="dxa"/>
          <w:left w:w="108" w:type="dxa"/>
          <w:bottom w:w="0" w:type="dxa"/>
          <w:right w:w="108" w:type="dxa"/>
        </w:tblCellMar>
        <w:tblLook w:firstRow="1" w:noVBand="1" w:lastRow="0" w:firstColumn="1" w:lastColumn="0" w:noHBand="0" w:val="04a0"/>
      </w:tblPr>
      <w:tblGrid>
        <w:gridCol w:w="1327"/>
        <w:gridCol w:w="1971"/>
        <w:gridCol w:w="2392"/>
        <w:gridCol w:w="2802"/>
      </w:tblGrid>
      <w:tr>
        <w:trPr>
          <w:cnfStyle w:val="100000000000" w:firstRow="1" w:lastRow="0" w:firstColumn="0" w:lastColumn="0" w:oddVBand="0" w:evenVBand="0" w:oddHBand="0" w:evenHBand="0" w:firstRowFirstColumn="0" w:firstRowLastColumn="0" w:lastRowFirstColumn="0" w:lastRowLastColumn="0"/>
        </w:trPr>
        <w:tc>
          <w:tcPr>
            <w:tcW w:w="1327" w:type="dxa"/>
            <w:cnfStyle w:val="001000000000" w:firstRow="0" w:lastRow="0" w:firstColumn="1" w:lastColumn="0" w:oddVBand="0" w:evenVBand="0" w:oddHBand="0" w:evenHBand="0" w:firstRowFirstColumn="0" w:firstRowLastColumn="0" w:lastRowFirstColumn="0" w:lastRowLastColumn="0"/>
            <w:tcBorders>
              <w:top w:val="single" w:sz="4" w:space="0" w:color="92D050"/>
              <w:left w:val="single" w:sz="4" w:space="0" w:color="92D050"/>
              <w:bottom w:val="single" w:sz="4" w:space="0" w:color="92D050"/>
            </w:tcBorders>
            <w:shd w:color="auto" w:fill="FFFFFF" w:themeFill="background1" w:val="clear"/>
          </w:tcPr>
          <w:p>
            <w:pPr>
              <w:pStyle w:val="Normal"/>
              <w:spacing w:lineRule="auto" w:line="240" w:before="0" w:after="0"/>
              <w:jc w:val="both"/>
              <w:rPr>
                <w:rFonts w:ascii="Times New Roman" w:hAnsi="Times New Roman" w:cs="Times New Roman"/>
                <w:i/>
                <w:i/>
                <w:color w:val="000000" w:themeColor="text1"/>
                <w:sz w:val="20"/>
                <w:szCs w:val="20"/>
              </w:rPr>
            </w:pPr>
            <w:r>
              <w:rPr>
                <w:rFonts w:eastAsia="" w:cs="Times New Roman" w:eastAsiaTheme="minorEastAsia" w:ascii="Times New Roman" w:hAnsi="Times New Roman"/>
                <w:b/>
                <w:bCs/>
                <w:i/>
                <w:color w:val="000000" w:themeColor="text1"/>
                <w:sz w:val="20"/>
                <w:szCs w:val="20"/>
                <w:lang w:eastAsia="pt-BR"/>
              </w:rPr>
              <w:t>Categoria</w:t>
            </w:r>
          </w:p>
        </w:tc>
        <w:tc>
          <w:tcPr>
            <w:tcW w:w="1971" w:type="dxa"/>
            <w:tcBorders>
              <w:top w:val="single" w:sz="4" w:space="0" w:color="92D050"/>
              <w:bottom w:val="single" w:sz="4" w:space="0" w:color="92D050"/>
            </w:tcBorders>
            <w:shd w:color="auto" w:fill="FFFFFF" w:themeFill="background1" w:val="clear"/>
          </w:tcPr>
          <w:p>
            <w:pPr>
              <w:pStyle w:val="Normal"/>
              <w:spacing w:lineRule="auto" w:line="24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
                <w:color w:val="000000" w:themeColor="text1"/>
                <w:sz w:val="20"/>
                <w:szCs w:val="20"/>
              </w:rPr>
            </w:pPr>
            <w:r>
              <w:rPr>
                <w:rFonts w:eastAsia="" w:cs="Times New Roman" w:eastAsiaTheme="minorEastAsia" w:ascii="Times New Roman" w:hAnsi="Times New Roman"/>
                <w:b/>
                <w:bCs/>
                <w:i/>
                <w:color w:val="000000" w:themeColor="text1"/>
                <w:sz w:val="20"/>
                <w:szCs w:val="20"/>
                <w:lang w:eastAsia="pt-BR"/>
              </w:rPr>
              <w:t>Perfil Geral</w:t>
            </w:r>
          </w:p>
        </w:tc>
        <w:tc>
          <w:tcPr>
            <w:tcW w:w="2392" w:type="dxa"/>
            <w:tcBorders>
              <w:top w:val="single" w:sz="4" w:space="0" w:color="92D050"/>
              <w:bottom w:val="single" w:sz="4" w:space="0" w:color="92D050"/>
            </w:tcBorders>
            <w:shd w:color="auto" w:fill="FFFFFF" w:themeFill="background1" w:val="clear"/>
          </w:tcPr>
          <w:p>
            <w:pPr>
              <w:pStyle w:val="Normal"/>
              <w:spacing w:lineRule="auto" w:line="24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
                <w:color w:val="000000" w:themeColor="text1"/>
                <w:sz w:val="20"/>
                <w:szCs w:val="20"/>
              </w:rPr>
            </w:pPr>
            <w:r>
              <w:rPr>
                <w:rFonts w:eastAsia="" w:cs="Times New Roman" w:eastAsiaTheme="minorEastAsia" w:ascii="Times New Roman" w:hAnsi="Times New Roman"/>
                <w:b/>
                <w:bCs/>
                <w:i/>
                <w:color w:val="000000" w:themeColor="text1"/>
                <w:sz w:val="20"/>
                <w:szCs w:val="20"/>
                <w:lang w:eastAsia="pt-BR"/>
              </w:rPr>
              <w:t>Natureza Jurídica das Empresas</w:t>
            </w:r>
          </w:p>
        </w:tc>
        <w:tc>
          <w:tcPr>
            <w:tcW w:w="2802" w:type="dxa"/>
            <w:tcBorders>
              <w:top w:val="single" w:sz="4" w:space="0" w:color="92D050"/>
              <w:bottom w:val="single" w:sz="4" w:space="0" w:color="92D050"/>
              <w:right w:val="single" w:sz="4" w:space="0" w:color="92D050"/>
            </w:tcBorders>
            <w:shd w:color="auto" w:fill="FFFFFF" w:themeFill="background1" w:val="clear"/>
          </w:tcPr>
          <w:p>
            <w:pPr>
              <w:pStyle w:val="Normal"/>
              <w:spacing w:lineRule="auto" w:line="24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
                <w:color w:val="000000" w:themeColor="text1"/>
                <w:sz w:val="20"/>
                <w:szCs w:val="20"/>
              </w:rPr>
            </w:pPr>
            <w:r>
              <w:rPr>
                <w:rFonts w:eastAsia="" w:cs="Times New Roman" w:eastAsiaTheme="minorEastAsia" w:ascii="Times New Roman" w:hAnsi="Times New Roman"/>
                <w:b/>
                <w:bCs/>
                <w:i/>
                <w:color w:val="000000" w:themeColor="text1"/>
                <w:sz w:val="20"/>
                <w:szCs w:val="20"/>
                <w:lang w:eastAsia="pt-BR"/>
              </w:rPr>
              <w:t>Porte das Empresas</w:t>
            </w:r>
          </w:p>
        </w:tc>
      </w:tr>
      <w:tr>
        <w:trPr>
          <w:cnfStyle w:val="000000100000" w:firstRow="0" w:lastRow="0" w:firstColumn="0" w:lastColumn="0" w:oddVBand="0" w:evenVBand="0" w:oddHBand="1" w:evenHBand="0" w:firstRowFirstColumn="0" w:firstRowLastColumn="0" w:lastRowFirstColumn="0" w:lastRowLastColumn="0"/>
        </w:trPr>
        <w:tc>
          <w:tcPr>
            <w:tcW w:w="1327" w:type="dxa"/>
            <w:cnfStyle w:val="001000000000" w:firstRow="0" w:lastRow="0" w:firstColumn="1" w:lastColumn="0" w:oddVBand="0" w:evenVBand="0" w:oddHBand="0" w:evenHBand="0" w:firstRowFirstColumn="0" w:firstRowLastColumn="0" w:lastRowFirstColumn="0" w:lastRowLastColumn="0"/>
            <w:tcBorders>
              <w:top w:val="single" w:sz="4" w:space="0" w:color="92D050"/>
              <w:left w:val="single" w:sz="4" w:space="0" w:color="92D050"/>
              <w:bottom w:val="single" w:sz="4" w:space="0" w:color="92D050"/>
              <w:right w:val="single" w:sz="4" w:space="0" w:color="92D050"/>
            </w:tcBorders>
            <w:shd w:color="auto" w:fill="EDEDED" w:themeFill="accent3" w:themeFillTint="33" w:val="clear"/>
          </w:tcPr>
          <w:p>
            <w:pPr>
              <w:pStyle w:val="Normal"/>
              <w:spacing w:lineRule="auto" w:line="240" w:before="0" w:after="0"/>
              <w:jc w:val="both"/>
              <w:rPr>
                <w:rFonts w:ascii="Times New Roman" w:hAnsi="Times New Roman" w:cs="Times New Roman"/>
                <w:sz w:val="20"/>
                <w:szCs w:val="20"/>
              </w:rPr>
            </w:pPr>
            <w:r>
              <w:rPr>
                <w:rFonts w:eastAsia="" w:cs="Times New Roman" w:eastAsiaTheme="minorEastAsia" w:ascii="Times New Roman" w:hAnsi="Times New Roman"/>
                <w:b/>
                <w:bCs/>
                <w:sz w:val="20"/>
                <w:szCs w:val="20"/>
                <w:lang w:eastAsia="pt-BR"/>
              </w:rPr>
              <w:t>Sexo</w:t>
            </w:r>
          </w:p>
        </w:tc>
        <w:tc>
          <w:tcPr>
            <w:tcW w:w="1971" w:type="dxa"/>
            <w:tcBorders>
              <w:top w:val="single" w:sz="4" w:space="0" w:color="92D050"/>
              <w:left w:val="single" w:sz="4" w:space="0" w:color="92D050"/>
              <w:bottom w:val="single" w:sz="4" w:space="0" w:color="92D050"/>
              <w:right w:val="single" w:sz="4" w:space="0" w:color="92D050"/>
            </w:tcBorders>
            <w:shd w:color="auto" w:fill="EDEDED" w:themeFill="accent3"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Predominância de homens em cerca de dois terços</w:t>
            </w:r>
          </w:p>
        </w:tc>
        <w:tc>
          <w:tcPr>
            <w:tcW w:w="2392" w:type="dxa"/>
            <w:tcBorders>
              <w:top w:val="single" w:sz="4" w:space="0" w:color="92D050"/>
              <w:left w:val="single" w:sz="4" w:space="0" w:color="92D050"/>
              <w:bottom w:val="single" w:sz="4" w:space="0" w:color="92D050"/>
              <w:right w:val="single" w:sz="4" w:space="0" w:color="92D050"/>
            </w:tcBorders>
            <w:shd w:color="auto" w:fill="EDEDED" w:themeFill="accent3"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Maior proporção de mulheres nas empresas públicas, comparativamente com as públicas</w:t>
            </w:r>
          </w:p>
        </w:tc>
        <w:tc>
          <w:tcPr>
            <w:tcW w:w="2802" w:type="dxa"/>
            <w:tcBorders>
              <w:top w:val="single" w:sz="4" w:space="0" w:color="92D050"/>
              <w:left w:val="single" w:sz="4" w:space="0" w:color="92D050"/>
              <w:bottom w:val="single" w:sz="4" w:space="0" w:color="92D050"/>
              <w:right w:val="single" w:sz="4" w:space="0" w:color="92D050"/>
            </w:tcBorders>
            <w:shd w:color="auto" w:fill="EDEDED" w:themeFill="accent3"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Maior proporção de mulheres nas grandes empresas, comparativamente com as de menor porte</w:t>
            </w:r>
          </w:p>
        </w:tc>
      </w:tr>
      <w:tr>
        <w:trPr/>
        <w:tc>
          <w:tcPr>
            <w:tcW w:w="1327" w:type="dxa"/>
            <w:cnfStyle w:val="001000000000" w:firstRow="0" w:lastRow="0" w:firstColumn="1" w:lastColumn="0" w:oddVBand="0" w:evenVBand="0" w:oddHBand="0" w:evenHBand="0" w:firstRowFirstColumn="0" w:firstRowLastColumn="0" w:lastRowFirstColumn="0" w:lastRowLastColumn="0"/>
            <w:tcBorders>
              <w:top w:val="single" w:sz="4" w:space="0" w:color="92D050"/>
              <w:left w:val="single" w:sz="4" w:space="0" w:color="92D050"/>
              <w:bottom w:val="single" w:sz="4" w:space="0" w:color="92D050"/>
              <w:right w:val="single" w:sz="4" w:space="0" w:color="92D050"/>
            </w:tcBorders>
            <w:shd w:fill="auto" w:val="clear"/>
          </w:tcPr>
          <w:p>
            <w:pPr>
              <w:pStyle w:val="Normal"/>
              <w:spacing w:lineRule="auto" w:line="240" w:before="0" w:after="0"/>
              <w:jc w:val="both"/>
              <w:rPr>
                <w:rFonts w:ascii="Times New Roman" w:hAnsi="Times New Roman" w:cs="Times New Roman"/>
                <w:sz w:val="20"/>
                <w:szCs w:val="20"/>
              </w:rPr>
            </w:pPr>
            <w:r>
              <w:rPr>
                <w:rFonts w:eastAsia="" w:cs="Times New Roman" w:eastAsiaTheme="minorEastAsia" w:ascii="Times New Roman" w:hAnsi="Times New Roman"/>
                <w:b/>
                <w:bCs/>
                <w:sz w:val="20"/>
                <w:szCs w:val="20"/>
                <w:lang w:eastAsia="pt-BR"/>
              </w:rPr>
              <w:t>Faixa Etária</w:t>
            </w:r>
          </w:p>
        </w:tc>
        <w:tc>
          <w:tcPr>
            <w:tcW w:w="1971" w:type="dxa"/>
            <w:tcBorders>
              <w:top w:val="single" w:sz="4" w:space="0" w:color="92D050"/>
              <w:left w:val="single" w:sz="4" w:space="0" w:color="92D050"/>
              <w:bottom w:val="single" w:sz="4" w:space="0" w:color="92D050"/>
              <w:right w:val="single" w:sz="4" w:space="0" w:color="92D050"/>
            </w:tcBorders>
            <w:shd w:fill="auto" w:val="cle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Predominância de jovens-adultos</w:t>
            </w:r>
          </w:p>
        </w:tc>
        <w:tc>
          <w:tcPr>
            <w:tcW w:w="2392" w:type="dxa"/>
            <w:tcBorders>
              <w:top w:val="single" w:sz="4" w:space="0" w:color="92D050"/>
              <w:left w:val="single" w:sz="4" w:space="0" w:color="92D050"/>
              <w:bottom w:val="single" w:sz="4" w:space="0" w:color="92D050"/>
              <w:right w:val="single" w:sz="4" w:space="0" w:color="92D050"/>
            </w:tcBorders>
            <w:shd w:fill="auto" w:val="cle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Maior presença de faixas mais juvenis nas empresas privadas, frente às públicas</w:t>
            </w:r>
          </w:p>
        </w:tc>
        <w:tc>
          <w:tcPr>
            <w:tcW w:w="2802" w:type="dxa"/>
            <w:tcBorders>
              <w:top w:val="single" w:sz="4" w:space="0" w:color="92D050"/>
              <w:left w:val="single" w:sz="4" w:space="0" w:color="92D050"/>
              <w:bottom w:val="single" w:sz="4" w:space="0" w:color="92D050"/>
              <w:right w:val="single" w:sz="4" w:space="0" w:color="92D050"/>
            </w:tcBorders>
            <w:shd w:fill="auto" w:val="cle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Maior presença de faixas mais juvenis nas empresas de menor porte, frente às de maior porte</w:t>
            </w:r>
          </w:p>
        </w:tc>
      </w:tr>
      <w:tr>
        <w:trPr>
          <w:cnfStyle w:val="000000100000" w:firstRow="0" w:lastRow="0" w:firstColumn="0" w:lastColumn="0" w:oddVBand="0" w:evenVBand="0" w:oddHBand="1" w:evenHBand="0" w:firstRowFirstColumn="0" w:firstRowLastColumn="0" w:lastRowFirstColumn="0" w:lastRowLastColumn="0"/>
        </w:trPr>
        <w:tc>
          <w:tcPr>
            <w:tcW w:w="1327" w:type="dxa"/>
            <w:cnfStyle w:val="001000000000" w:firstRow="0" w:lastRow="0" w:firstColumn="1" w:lastColumn="0" w:oddVBand="0" w:evenVBand="0" w:oddHBand="0" w:evenHBand="0" w:firstRowFirstColumn="0" w:firstRowLastColumn="0" w:lastRowFirstColumn="0" w:lastRowLastColumn="0"/>
            <w:tcBorders>
              <w:top w:val="single" w:sz="4" w:space="0" w:color="92D050"/>
              <w:left w:val="single" w:sz="4" w:space="0" w:color="92D050"/>
              <w:bottom w:val="single" w:sz="4" w:space="0" w:color="92D050"/>
              <w:right w:val="single" w:sz="4" w:space="0" w:color="92D050"/>
            </w:tcBorders>
            <w:shd w:color="auto" w:fill="EDEDED" w:themeFill="accent3" w:themeFillTint="33" w:val="clear"/>
          </w:tcPr>
          <w:p>
            <w:pPr>
              <w:pStyle w:val="Normal"/>
              <w:spacing w:lineRule="auto" w:line="240" w:before="0" w:after="0"/>
              <w:jc w:val="both"/>
              <w:rPr>
                <w:rFonts w:ascii="Times New Roman" w:hAnsi="Times New Roman" w:cs="Times New Roman"/>
                <w:sz w:val="20"/>
                <w:szCs w:val="20"/>
              </w:rPr>
            </w:pPr>
            <w:r>
              <w:rPr>
                <w:rFonts w:eastAsia="" w:cs="Times New Roman" w:eastAsiaTheme="minorEastAsia" w:ascii="Times New Roman" w:hAnsi="Times New Roman"/>
                <w:b/>
                <w:bCs/>
                <w:sz w:val="20"/>
                <w:szCs w:val="20"/>
                <w:lang w:eastAsia="pt-BR"/>
              </w:rPr>
              <w:t>Residência</w:t>
            </w:r>
          </w:p>
        </w:tc>
        <w:tc>
          <w:tcPr>
            <w:tcW w:w="1971" w:type="dxa"/>
            <w:tcBorders>
              <w:top w:val="single" w:sz="4" w:space="0" w:color="92D050"/>
              <w:left w:val="single" w:sz="4" w:space="0" w:color="92D050"/>
              <w:bottom w:val="single" w:sz="4" w:space="0" w:color="92D050"/>
              <w:right w:val="single" w:sz="4" w:space="0" w:color="92D050"/>
            </w:tcBorders>
            <w:shd w:color="auto" w:fill="EDEDED" w:themeFill="accent3"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Maioria reside em Recife, sendo quase todos na RMR</w:t>
            </w:r>
          </w:p>
        </w:tc>
        <w:tc>
          <w:tcPr>
            <w:tcW w:w="2392" w:type="dxa"/>
            <w:tcBorders>
              <w:top w:val="single" w:sz="4" w:space="0" w:color="92D050"/>
              <w:left w:val="single" w:sz="4" w:space="0" w:color="92D050"/>
              <w:bottom w:val="single" w:sz="4" w:space="0" w:color="92D050"/>
              <w:right w:val="single" w:sz="4" w:space="0" w:color="92D050"/>
            </w:tcBorders>
            <w:shd w:color="auto" w:fill="EDEDED" w:themeFill="accent3"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Maior proporção de residentes em Recife nas empresas públicas, quando comparadas às privadas</w:t>
            </w:r>
          </w:p>
        </w:tc>
        <w:tc>
          <w:tcPr>
            <w:tcW w:w="2802" w:type="dxa"/>
            <w:tcBorders>
              <w:top w:val="single" w:sz="4" w:space="0" w:color="92D050"/>
              <w:left w:val="single" w:sz="4" w:space="0" w:color="92D050"/>
              <w:bottom w:val="single" w:sz="4" w:space="0" w:color="92D050"/>
              <w:right w:val="single" w:sz="4" w:space="0" w:color="92D050"/>
            </w:tcBorders>
            <w:shd w:color="auto" w:fill="EDEDED" w:themeFill="accent3"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Maior proporção de residentes em Recife nas empresas de maior porte, quando comparadas às de menor porte</w:t>
            </w:r>
          </w:p>
        </w:tc>
      </w:tr>
      <w:tr>
        <w:trPr/>
        <w:tc>
          <w:tcPr>
            <w:tcW w:w="1327" w:type="dxa"/>
            <w:cnfStyle w:val="001000000000" w:firstRow="0" w:lastRow="0" w:firstColumn="1" w:lastColumn="0" w:oddVBand="0" w:evenVBand="0" w:oddHBand="0" w:evenHBand="0" w:firstRowFirstColumn="0" w:firstRowLastColumn="0" w:lastRowFirstColumn="0" w:lastRowLastColumn="0"/>
            <w:tcBorders>
              <w:top w:val="single" w:sz="4" w:space="0" w:color="92D050"/>
              <w:left w:val="single" w:sz="4" w:space="0" w:color="92D050"/>
              <w:bottom w:val="single" w:sz="4" w:space="0" w:color="92D050"/>
              <w:right w:val="single" w:sz="4" w:space="0" w:color="92D050"/>
            </w:tcBorders>
            <w:shd w:fill="auto" w:val="clear"/>
          </w:tcPr>
          <w:p>
            <w:pPr>
              <w:pStyle w:val="Normal"/>
              <w:spacing w:lineRule="auto" w:line="240" w:before="0" w:after="0"/>
              <w:jc w:val="both"/>
              <w:rPr>
                <w:rFonts w:ascii="Times New Roman" w:hAnsi="Times New Roman" w:cs="Times New Roman"/>
                <w:sz w:val="20"/>
                <w:szCs w:val="20"/>
              </w:rPr>
            </w:pPr>
            <w:r>
              <w:rPr>
                <w:rFonts w:eastAsia="" w:cs="Times New Roman" w:eastAsiaTheme="minorEastAsia" w:ascii="Times New Roman" w:hAnsi="Times New Roman"/>
                <w:b/>
                <w:bCs/>
                <w:sz w:val="20"/>
                <w:szCs w:val="20"/>
                <w:lang w:eastAsia="pt-BR"/>
              </w:rPr>
              <w:t>Estado Civil</w:t>
            </w:r>
          </w:p>
        </w:tc>
        <w:tc>
          <w:tcPr>
            <w:tcW w:w="1971" w:type="dxa"/>
            <w:tcBorders>
              <w:top w:val="single" w:sz="4" w:space="0" w:color="92D050"/>
              <w:left w:val="single" w:sz="4" w:space="0" w:color="92D050"/>
              <w:bottom w:val="single" w:sz="4" w:space="0" w:color="92D050"/>
              <w:right w:val="single" w:sz="4" w:space="0" w:color="92D050"/>
            </w:tcBorders>
            <w:shd w:fill="auto" w:val="cle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Predominância de casados e, em segundo lugar, solteiros</w:t>
            </w:r>
          </w:p>
        </w:tc>
        <w:tc>
          <w:tcPr>
            <w:tcW w:w="2392" w:type="dxa"/>
            <w:tcBorders>
              <w:top w:val="single" w:sz="4" w:space="0" w:color="92D050"/>
              <w:left w:val="single" w:sz="4" w:space="0" w:color="92D050"/>
              <w:bottom w:val="single" w:sz="4" w:space="0" w:color="92D050"/>
              <w:right w:val="single" w:sz="4" w:space="0" w:color="92D050"/>
            </w:tcBorders>
            <w:shd w:fill="auto" w:val="cle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Maior proporção de casados e menor de solteiros nas empresas públicas, em comparação com as privadas</w:t>
            </w:r>
          </w:p>
        </w:tc>
        <w:tc>
          <w:tcPr>
            <w:tcW w:w="2802" w:type="dxa"/>
            <w:tcBorders>
              <w:top w:val="single" w:sz="4" w:space="0" w:color="92D050"/>
              <w:left w:val="single" w:sz="4" w:space="0" w:color="92D050"/>
              <w:bottom w:val="single" w:sz="4" w:space="0" w:color="92D050"/>
              <w:right w:val="single" w:sz="4" w:space="0" w:color="92D050"/>
            </w:tcBorders>
            <w:shd w:fill="auto" w:val="cle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Maior proporção de casados e menor de solteiros nas empresas de maior porte, em comparação com as de menor porte</w:t>
            </w:r>
          </w:p>
        </w:tc>
      </w:tr>
      <w:tr>
        <w:trPr>
          <w:cnfStyle w:val="000000100000" w:firstRow="0" w:lastRow="0" w:firstColumn="0" w:lastColumn="0" w:oddVBand="0" w:evenVBand="0" w:oddHBand="1" w:evenHBand="0" w:firstRowFirstColumn="0" w:firstRowLastColumn="0" w:lastRowFirstColumn="0" w:lastRowLastColumn="0"/>
        </w:trPr>
        <w:tc>
          <w:tcPr>
            <w:tcW w:w="1327" w:type="dxa"/>
            <w:cnfStyle w:val="001000000000" w:firstRow="0" w:lastRow="0" w:firstColumn="1" w:lastColumn="0" w:oddVBand="0" w:evenVBand="0" w:oddHBand="0" w:evenHBand="0" w:firstRowFirstColumn="0" w:firstRowLastColumn="0" w:lastRowFirstColumn="0" w:lastRowLastColumn="0"/>
            <w:tcBorders>
              <w:top w:val="single" w:sz="4" w:space="0" w:color="92D050"/>
              <w:left w:val="single" w:sz="4" w:space="0" w:color="92D050"/>
              <w:bottom w:val="single" w:sz="4" w:space="0" w:color="92D050"/>
              <w:right w:val="single" w:sz="4" w:space="0" w:color="92D050"/>
            </w:tcBorders>
            <w:shd w:color="auto" w:fill="EDEDED" w:themeFill="accent3" w:themeFillTint="33" w:val="clear"/>
          </w:tcPr>
          <w:p>
            <w:pPr>
              <w:pStyle w:val="Normal"/>
              <w:spacing w:lineRule="auto" w:line="240" w:before="0" w:after="0"/>
              <w:jc w:val="both"/>
              <w:rPr>
                <w:rFonts w:ascii="Times New Roman" w:hAnsi="Times New Roman" w:cs="Times New Roman"/>
                <w:sz w:val="20"/>
                <w:szCs w:val="20"/>
              </w:rPr>
            </w:pPr>
            <w:r>
              <w:rPr>
                <w:rFonts w:eastAsia="" w:cs="Times New Roman" w:eastAsiaTheme="minorEastAsia" w:ascii="Times New Roman" w:hAnsi="Times New Roman"/>
                <w:b/>
                <w:bCs/>
                <w:sz w:val="20"/>
                <w:szCs w:val="20"/>
                <w:lang w:eastAsia="pt-BR"/>
              </w:rPr>
              <w:t>Cor/Raça</w:t>
            </w:r>
          </w:p>
        </w:tc>
        <w:tc>
          <w:tcPr>
            <w:tcW w:w="1971" w:type="dxa"/>
            <w:tcBorders>
              <w:top w:val="single" w:sz="4" w:space="0" w:color="92D050"/>
              <w:left w:val="single" w:sz="4" w:space="0" w:color="92D050"/>
              <w:bottom w:val="single" w:sz="4" w:space="0" w:color="92D050"/>
              <w:right w:val="single" w:sz="4" w:space="0" w:color="92D050"/>
            </w:tcBorders>
            <w:shd w:color="auto" w:fill="EDEDED" w:themeFill="accent3"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Predominância de pardos e, em segundo lugar, de brancos</w:t>
            </w:r>
          </w:p>
        </w:tc>
        <w:tc>
          <w:tcPr>
            <w:tcW w:w="2392" w:type="dxa"/>
            <w:tcBorders>
              <w:top w:val="single" w:sz="4" w:space="0" w:color="92D050"/>
              <w:left w:val="single" w:sz="4" w:space="0" w:color="92D050"/>
              <w:bottom w:val="single" w:sz="4" w:space="0" w:color="92D050"/>
              <w:right w:val="single" w:sz="4" w:space="0" w:color="92D050"/>
            </w:tcBorders>
            <w:shd w:color="auto" w:fill="EDEDED" w:themeFill="accent3"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Distribuição similar dos tipos de cor/raça entre empresas públicas e privadas. Destaque para os amarelos nas privadas</w:t>
            </w:r>
          </w:p>
        </w:tc>
        <w:tc>
          <w:tcPr>
            <w:tcW w:w="2802" w:type="dxa"/>
            <w:tcBorders>
              <w:top w:val="single" w:sz="4" w:space="0" w:color="92D050"/>
              <w:left w:val="single" w:sz="4" w:space="0" w:color="92D050"/>
              <w:bottom w:val="single" w:sz="4" w:space="0" w:color="92D050"/>
              <w:right w:val="single" w:sz="4" w:space="0" w:color="92D050"/>
            </w:tcBorders>
            <w:shd w:color="auto" w:fill="EDEDED" w:themeFill="accent3"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Menor proporção de pardos e maior de brancos nas empresas menores, frente às demais</w:t>
            </w:r>
          </w:p>
        </w:tc>
      </w:tr>
      <w:tr>
        <w:trPr/>
        <w:tc>
          <w:tcPr>
            <w:tcW w:w="1327" w:type="dxa"/>
            <w:cnfStyle w:val="001000000000" w:firstRow="0" w:lastRow="0" w:firstColumn="1" w:lastColumn="0" w:oddVBand="0" w:evenVBand="0" w:oddHBand="0" w:evenHBand="0" w:firstRowFirstColumn="0" w:firstRowLastColumn="0" w:lastRowFirstColumn="0" w:lastRowLastColumn="0"/>
            <w:tcBorders>
              <w:top w:val="single" w:sz="4" w:space="0" w:color="92D050"/>
              <w:left w:val="single" w:sz="4" w:space="0" w:color="92D050"/>
              <w:bottom w:val="single" w:sz="4" w:space="0" w:color="92D050"/>
              <w:right w:val="single" w:sz="4" w:space="0" w:color="92D050"/>
            </w:tcBorders>
            <w:shd w:fill="auto" w:val="clear"/>
          </w:tcPr>
          <w:p>
            <w:pPr>
              <w:pStyle w:val="Normal"/>
              <w:spacing w:lineRule="auto" w:line="240" w:before="0" w:after="0"/>
              <w:jc w:val="both"/>
              <w:rPr>
                <w:rFonts w:ascii="Times New Roman" w:hAnsi="Times New Roman" w:cs="Times New Roman"/>
                <w:sz w:val="20"/>
                <w:szCs w:val="20"/>
              </w:rPr>
            </w:pPr>
            <w:r>
              <w:rPr>
                <w:rFonts w:eastAsia="" w:cs="Times New Roman" w:eastAsiaTheme="minorEastAsia" w:ascii="Times New Roman" w:hAnsi="Times New Roman"/>
                <w:b/>
                <w:bCs/>
                <w:sz w:val="20"/>
                <w:szCs w:val="20"/>
                <w:lang w:eastAsia="pt-BR"/>
              </w:rPr>
              <w:t>Escolaridade</w:t>
            </w:r>
          </w:p>
        </w:tc>
        <w:tc>
          <w:tcPr>
            <w:tcW w:w="1971" w:type="dxa"/>
            <w:tcBorders>
              <w:top w:val="single" w:sz="4" w:space="0" w:color="92D050"/>
              <w:left w:val="single" w:sz="4" w:space="0" w:color="92D050"/>
              <w:bottom w:val="single" w:sz="4" w:space="0" w:color="92D050"/>
              <w:right w:val="single" w:sz="4" w:space="0" w:color="92D050"/>
            </w:tcBorders>
            <w:shd w:fill="auto" w:val="cle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Elevada escolaridade média</w:t>
            </w:r>
          </w:p>
        </w:tc>
        <w:tc>
          <w:tcPr>
            <w:tcW w:w="2392" w:type="dxa"/>
            <w:tcBorders>
              <w:top w:val="single" w:sz="4" w:space="0" w:color="92D050"/>
              <w:left w:val="single" w:sz="4" w:space="0" w:color="92D050"/>
              <w:bottom w:val="single" w:sz="4" w:space="0" w:color="92D050"/>
              <w:right w:val="single" w:sz="4" w:space="0" w:color="92D050"/>
            </w:tcBorders>
            <w:shd w:fill="auto" w:val="cle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Maior proporção de pós-graduados nas empresas públicas, com as empresas privadas se destacando no conjunto da formação universitária (a partir do superior incompleto)</w:t>
            </w:r>
          </w:p>
        </w:tc>
        <w:tc>
          <w:tcPr>
            <w:tcW w:w="2802" w:type="dxa"/>
            <w:tcBorders>
              <w:top w:val="single" w:sz="4" w:space="0" w:color="92D050"/>
              <w:left w:val="single" w:sz="4" w:space="0" w:color="92D050"/>
              <w:bottom w:val="single" w:sz="4" w:space="0" w:color="92D050"/>
              <w:right w:val="single" w:sz="4" w:space="0" w:color="92D050"/>
            </w:tcBorders>
            <w:shd w:fill="auto" w:val="cle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eastAsia="" w:cs="Times New Roman" w:eastAsiaTheme="minorEastAsia" w:ascii="Times New Roman" w:hAnsi="Times New Roman"/>
                <w:sz w:val="20"/>
                <w:szCs w:val="20"/>
                <w:lang w:eastAsia="pt-BR"/>
              </w:rPr>
              <w:t>Maior presença do nível superior incompleto nas empresas de menor porte. Maior proporção de pós-graduados nas empresas maiores.</w:t>
            </w:r>
          </w:p>
        </w:tc>
      </w:tr>
    </w:tbl>
    <w:p>
      <w:pPr>
        <w:pStyle w:val="Normal"/>
        <w:rPr/>
      </w:pPr>
      <w:r>
        <w:rPr/>
      </w:r>
    </w:p>
    <w:p>
      <w:pPr>
        <w:pStyle w:val="Normal"/>
        <w:rPr>
          <w:b/>
          <w:b/>
        </w:rPr>
      </w:pPr>
      <w:r>
        <w:rPr>
          <w:b/>
        </w:rPr>
        <w:t>2.2. Trabalho</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Quando perguntado sobre a </w:t>
      </w:r>
      <w:r>
        <w:rPr>
          <w:rFonts w:cs="Times New Roman" w:ascii="Times New Roman" w:hAnsi="Times New Roman"/>
          <w:i/>
          <w:sz w:val="24"/>
          <w:szCs w:val="24"/>
        </w:rPr>
        <w:t>função</w:t>
      </w:r>
      <w:r>
        <w:rPr>
          <w:rFonts w:cs="Times New Roman" w:ascii="Times New Roman" w:hAnsi="Times New Roman"/>
          <w:sz w:val="24"/>
          <w:szCs w:val="24"/>
        </w:rPr>
        <w:t xml:space="preserve"> que desempenhava na atividade que exercia na ocasião, os respondentes, em sua grande maioria (73,3%), disseram atuar em </w:t>
      </w:r>
      <w:r>
        <w:rPr>
          <w:rFonts w:cs="Times New Roman" w:ascii="Times New Roman" w:hAnsi="Times New Roman"/>
          <w:i/>
          <w:sz w:val="24"/>
          <w:szCs w:val="24"/>
        </w:rPr>
        <w:t>função técnica com formação em TI</w:t>
      </w:r>
      <w:r>
        <w:rPr>
          <w:rFonts w:cs="Times New Roman" w:ascii="Times New Roman" w:hAnsi="Times New Roman"/>
          <w:sz w:val="24"/>
          <w:szCs w:val="24"/>
        </w:rPr>
        <w:t xml:space="preserve"> (17,2% com formação médio-técnica, com destaque para técnico em desenvolvimento de sistemas, técnico em manutenção, técnico em operação de computadores, técnico em rede etc., e 56,1% com formação superior, com destaque para analista de TI, incluindo também engenheiro em computação, </w:t>
      </w:r>
      <w:r>
        <w:rPr>
          <w:rFonts w:cs="Times New Roman" w:ascii="Times New Roman" w:hAnsi="Times New Roman"/>
          <w:i/>
          <w:sz w:val="24"/>
          <w:szCs w:val="24"/>
        </w:rPr>
        <w:t>webdesigner</w:t>
      </w:r>
      <w:r>
        <w:rPr>
          <w:rFonts w:cs="Times New Roman" w:ascii="Times New Roman" w:hAnsi="Times New Roman"/>
          <w:sz w:val="24"/>
          <w:szCs w:val="24"/>
        </w:rPr>
        <w:t xml:space="preserve">, entre outros). Outros disseram exercer </w:t>
      </w:r>
      <w:r>
        <w:rPr>
          <w:rFonts w:cs="Times New Roman" w:ascii="Times New Roman" w:hAnsi="Times New Roman"/>
          <w:i/>
          <w:sz w:val="24"/>
          <w:szCs w:val="24"/>
        </w:rPr>
        <w:t>função técnica mas sem formação em TI</w:t>
      </w:r>
      <w:r>
        <w:rPr>
          <w:rFonts w:cs="Times New Roman" w:ascii="Times New Roman" w:hAnsi="Times New Roman"/>
          <w:sz w:val="24"/>
          <w:szCs w:val="24"/>
        </w:rPr>
        <w:t xml:space="preserve"> (6,0% com nível médio/técnico e 15,1% com nível superior, a exemplo de advogados, administradores, contadores etc.) ou exercer </w:t>
      </w:r>
      <w:r>
        <w:rPr>
          <w:rFonts w:cs="Times New Roman" w:ascii="Times New Roman" w:hAnsi="Times New Roman"/>
          <w:i/>
          <w:sz w:val="24"/>
          <w:szCs w:val="24"/>
        </w:rPr>
        <w:t>função não técnica com</w:t>
      </w:r>
      <w:r>
        <w:rPr>
          <w:rFonts w:cs="Times New Roman" w:ascii="Times New Roman" w:hAnsi="Times New Roman"/>
          <w:sz w:val="24"/>
          <w:szCs w:val="24"/>
        </w:rPr>
        <w:t xml:space="preserve"> (0,7%, a exemplo de digitador) ou </w:t>
      </w:r>
      <w:r>
        <w:rPr>
          <w:rFonts w:cs="Times New Roman" w:ascii="Times New Roman" w:hAnsi="Times New Roman"/>
          <w:i/>
          <w:sz w:val="24"/>
          <w:szCs w:val="24"/>
        </w:rPr>
        <w:t>sem atuação em TI</w:t>
      </w:r>
      <w:r>
        <w:rPr>
          <w:rFonts w:cs="Times New Roman" w:ascii="Times New Roman" w:hAnsi="Times New Roman"/>
          <w:sz w:val="24"/>
          <w:szCs w:val="24"/>
        </w:rPr>
        <w:t xml:space="preserve"> (4,6%, a exemplo de vigilantes e outras funções). Temos, portanto, que mais de 70% dos entrevistados compõem um núcleo de profissionais claramente vinculados a uma formação e atuação em TI, o que mais uma vez confirma o perfil altamente profissionalizado dos trabalhadores do setor.</w:t>
      </w:r>
    </w:p>
    <w:p>
      <w:pPr>
        <w:pStyle w:val="Normal"/>
        <w:rPr>
          <w:b/>
          <w:b/>
        </w:rPr>
      </w:pPr>
      <w:r>
        <w:rPr>
          <w:b/>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8 – Função na Atividade Atual</w:t>
      </w:r>
    </w:p>
    <w:p>
      <w:pPr>
        <w:pStyle w:val="Normal"/>
        <w:spacing w:lineRule="auto" w:line="240" w:before="0" w:after="0"/>
        <w:jc w:val="center"/>
        <w:rPr>
          <w:rFonts w:ascii="Times New Roman" w:hAnsi="Times New Roman" w:cs="Times New Roman"/>
          <w:sz w:val="24"/>
          <w:szCs w:val="24"/>
        </w:rPr>
      </w:pPr>
      <w:r>
        <w:rPr/>
        <w:drawing>
          <wp:inline distT="0" distB="0" distL="0" distR="0">
            <wp:extent cx="4156710" cy="2258695"/>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Normal"/>
        <w:spacing w:lineRule="auto" w:line="240" w:before="0" w:after="0"/>
        <w:ind w:left="708"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Perguntados sobre o </w:t>
      </w:r>
      <w:r>
        <w:rPr>
          <w:rFonts w:cs="Times New Roman" w:ascii="Times New Roman" w:hAnsi="Times New Roman"/>
          <w:i/>
          <w:sz w:val="24"/>
          <w:szCs w:val="24"/>
        </w:rPr>
        <w:t>motivo principal para o ingresso no setor de TI</w:t>
      </w:r>
      <w:r>
        <w:rPr>
          <w:rFonts w:cs="Times New Roman" w:ascii="Times New Roman" w:hAnsi="Times New Roman"/>
          <w:sz w:val="24"/>
          <w:szCs w:val="24"/>
        </w:rPr>
        <w:t xml:space="preserve">, os respondentes se concentraram majoritariamente em duas respostas: </w:t>
      </w:r>
      <w:r>
        <w:rPr>
          <w:rFonts w:cs="Times New Roman" w:ascii="Times New Roman" w:hAnsi="Times New Roman"/>
          <w:i/>
          <w:sz w:val="24"/>
          <w:szCs w:val="24"/>
        </w:rPr>
        <w:t>vocação profissional, gosto pela informática/tecnologia</w:t>
      </w:r>
      <w:r>
        <w:rPr>
          <w:rFonts w:cs="Times New Roman" w:ascii="Times New Roman" w:hAnsi="Times New Roman"/>
          <w:sz w:val="24"/>
          <w:szCs w:val="24"/>
        </w:rPr>
        <w:t xml:space="preserve"> (61,9%) e </w:t>
      </w:r>
      <w:r>
        <w:rPr>
          <w:rFonts w:cs="Times New Roman" w:ascii="Times New Roman" w:hAnsi="Times New Roman"/>
          <w:i/>
          <w:sz w:val="24"/>
          <w:szCs w:val="24"/>
        </w:rPr>
        <w:t>porque surgiu uma oportunidade de emprego</w:t>
      </w:r>
      <w:r>
        <w:rPr>
          <w:rFonts w:cs="Times New Roman" w:ascii="Times New Roman" w:hAnsi="Times New Roman"/>
          <w:sz w:val="24"/>
          <w:szCs w:val="24"/>
        </w:rPr>
        <w:t xml:space="preserve"> (29,0%). O destaque para a primeira opção evidencia, também por essa via, os vínculos profissionais dos trabalhadores de TI com o setor.</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9 – Motivo Principal para o Ingresso no Setor de TI</w:t>
      </w:r>
    </w:p>
    <w:p>
      <w:pPr>
        <w:pStyle w:val="Normal"/>
        <w:spacing w:lineRule="atLeast" w:line="400" w:before="0" w:after="0"/>
        <w:jc w:val="center"/>
        <w:rPr>
          <w:rFonts w:ascii="Times New Roman" w:hAnsi="Times New Roman" w:cs="Times New Roman"/>
          <w:sz w:val="24"/>
          <w:szCs w:val="24"/>
        </w:rPr>
      </w:pPr>
      <w:r>
        <w:rPr/>
        <w:drawing>
          <wp:inline distT="0" distB="0" distL="0" distR="0">
            <wp:extent cx="4707255" cy="2413000"/>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Normal"/>
        <w:spacing w:lineRule="auto" w:line="240" w:before="0" w:after="0"/>
        <w:ind w:left="708"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pPr>
      <w:r>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Outro aspecto a ser avaliado no que tange às tendências das relações de trabalho se refere ao tema da </w:t>
      </w:r>
      <w:r>
        <w:rPr>
          <w:rFonts w:cs="Times New Roman" w:ascii="Times New Roman" w:hAnsi="Times New Roman"/>
          <w:i/>
          <w:sz w:val="24"/>
          <w:szCs w:val="24"/>
        </w:rPr>
        <w:t>jornada de trabalho</w:t>
      </w:r>
      <w:r>
        <w:rPr>
          <w:rFonts w:cs="Times New Roman" w:ascii="Times New Roman" w:hAnsi="Times New Roman"/>
          <w:sz w:val="24"/>
          <w:szCs w:val="24"/>
        </w:rPr>
        <w:t xml:space="preserve">. Quanto a isso, os entrevistados foram perguntados sobre o </w:t>
      </w:r>
      <w:r>
        <w:rPr>
          <w:rFonts w:cs="Times New Roman" w:ascii="Times New Roman" w:hAnsi="Times New Roman"/>
          <w:i/>
          <w:sz w:val="24"/>
          <w:szCs w:val="24"/>
        </w:rPr>
        <w:t>tempo estimado de trabalho médio por semana no emprego principal</w:t>
      </w:r>
      <w:r>
        <w:rPr>
          <w:rFonts w:cs="Times New Roman" w:ascii="Times New Roman" w:hAnsi="Times New Roman"/>
          <w:sz w:val="24"/>
          <w:szCs w:val="24"/>
        </w:rPr>
        <w:t>, ao que responderam conforme o Gráfico 10. Ou seja, majoritariamente acusaram 40 horas semanais (78,5%). Trata-se de outro indício de predominância de um padrão convencional de relação de trabalho: jornadas de 40 horas semanais. Contudo, notam-se duas outras frequências com relevância: 44 horas (7,6%) e 30 horas (8,3%).</w:t>
      </w:r>
    </w:p>
    <w:p>
      <w:pPr>
        <w:pStyle w:val="Normal"/>
        <w:rPr/>
      </w:pPr>
      <w:r>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10 – Tempo estimado de trabalho médio por semana no emprego principal</w:t>
      </w:r>
    </w:p>
    <w:p>
      <w:pPr>
        <w:pStyle w:val="Normal"/>
        <w:spacing w:lineRule="auto" w:line="360" w:before="0" w:after="0"/>
        <w:ind w:firstLine="567"/>
        <w:jc w:val="center"/>
        <w:rPr>
          <w:rFonts w:ascii="Times New Roman" w:hAnsi="Times New Roman" w:cs="Times New Roman"/>
          <w:sz w:val="24"/>
          <w:szCs w:val="24"/>
        </w:rPr>
      </w:pPr>
      <w:r>
        <w:rPr/>
        <w:drawing>
          <wp:inline distT="0" distB="0" distL="0" distR="0">
            <wp:extent cx="3953510" cy="1981200"/>
            <wp:effectExtent l="0" t="0" r="0" b="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pPr>
      <w:r>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Passando-se à análise do </w:t>
      </w:r>
      <w:r>
        <w:rPr>
          <w:rFonts w:cs="Times New Roman" w:ascii="Times New Roman" w:hAnsi="Times New Roman"/>
          <w:i/>
          <w:sz w:val="24"/>
          <w:szCs w:val="24"/>
        </w:rPr>
        <w:t>regime de contratação</w:t>
      </w:r>
      <w:r>
        <w:rPr>
          <w:rFonts w:cs="Times New Roman" w:ascii="Times New Roman" w:hAnsi="Times New Roman"/>
          <w:sz w:val="24"/>
          <w:szCs w:val="24"/>
        </w:rPr>
        <w:t xml:space="preserve"> a que se encontravam submetidos quando da realização da entrevista, os respondentes mais uma vez deram mostras de que se encontravam sob ampla predominância de formas convencionais de contrato de trabalho: 92,7% das respostas recaíram na opção contrato permanente com jornada integral, enquanto os contratos </w:t>
      </w:r>
      <w:r>
        <w:rPr>
          <w:rFonts w:cs="Times New Roman" w:ascii="Times New Roman" w:hAnsi="Times New Roman"/>
          <w:color w:val="000000" w:themeColor="text1"/>
          <w:sz w:val="24"/>
          <w:szCs w:val="24"/>
        </w:rPr>
        <w:t>permanentes</w:t>
      </w:r>
      <w:r>
        <w:rPr>
          <w:rFonts w:cs="Times New Roman" w:ascii="Times New Roman" w:hAnsi="Times New Roman"/>
          <w:sz w:val="24"/>
          <w:szCs w:val="24"/>
        </w:rPr>
        <w:t xml:space="preserve"> com jornada parcial e os contratos temporários ou por prazo determinado tiveram ocorrências de apenas 6,5% e 0,8%, respectivamente. Ver Gráfico 11. Essa informação completa e reforça as anteriores sobre a baixa adoção no segmento de TI da RMR das novas modalidades de trabalho como tendência global em amplos setores da economia (trabalho por tempo parcial, trabalho temporário, contratos terceirizados, </w:t>
      </w:r>
      <w:r>
        <w:rPr>
          <w:rFonts w:cs="Times New Roman" w:ascii="Times New Roman" w:hAnsi="Times New Roman"/>
          <w:i/>
          <w:sz w:val="24"/>
          <w:szCs w:val="24"/>
        </w:rPr>
        <w:t>home office</w:t>
      </w:r>
      <w:r>
        <w:rPr>
          <w:rFonts w:cs="Times New Roman" w:ascii="Times New Roman" w:hAnsi="Times New Roman"/>
          <w:sz w:val="24"/>
          <w:szCs w:val="24"/>
        </w:rPr>
        <w:t xml:space="preserve">, </w:t>
      </w:r>
      <w:r>
        <w:rPr>
          <w:rFonts w:cs="Times New Roman" w:ascii="Times New Roman" w:hAnsi="Times New Roman"/>
          <w:i/>
          <w:sz w:val="24"/>
          <w:szCs w:val="24"/>
        </w:rPr>
        <w:t>coworking</w:t>
      </w:r>
      <w:r>
        <w:rPr>
          <w:rFonts w:cs="Times New Roman" w:ascii="Times New Roman" w:hAnsi="Times New Roman"/>
          <w:sz w:val="24"/>
          <w:szCs w:val="24"/>
        </w:rPr>
        <w:t xml:space="preserve"> etc.).</w:t>
      </w:r>
    </w:p>
    <w:p>
      <w:pPr>
        <w:pStyle w:val="Normal"/>
        <w:rPr/>
      </w:pPr>
      <w:r>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11 – Regime de Contratação</w:t>
      </w:r>
    </w:p>
    <w:p>
      <w:pPr>
        <w:pStyle w:val="Normal"/>
        <w:spacing w:lineRule="auto" w:line="360" w:before="0" w:after="0"/>
        <w:ind w:firstLine="567"/>
        <w:jc w:val="center"/>
        <w:rPr>
          <w:rFonts w:ascii="Times New Roman" w:hAnsi="Times New Roman" w:cs="Times New Roman"/>
          <w:sz w:val="24"/>
          <w:szCs w:val="24"/>
        </w:rPr>
      </w:pPr>
      <w:r>
        <w:rPr/>
        <w:drawing>
          <wp:inline distT="0" distB="0" distL="0" distR="0">
            <wp:extent cx="3699510" cy="1976755"/>
            <wp:effectExtent l="0" t="0" r="0"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pPr>
      <w:r>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Na análise do </w:t>
      </w:r>
      <w:r>
        <w:rPr>
          <w:rFonts w:cs="Times New Roman" w:ascii="Times New Roman" w:hAnsi="Times New Roman"/>
          <w:i/>
          <w:sz w:val="24"/>
          <w:szCs w:val="24"/>
        </w:rPr>
        <w:t>regime de remuneração</w:t>
      </w:r>
      <w:r>
        <w:rPr>
          <w:rFonts w:cs="Times New Roman" w:ascii="Times New Roman" w:hAnsi="Times New Roman"/>
          <w:sz w:val="24"/>
          <w:szCs w:val="24"/>
        </w:rPr>
        <w:t xml:space="preserve"> também encontramos um quadro bastante convencional, com quase 100% dos respondentes informando que percebiam salários fixos, sem qualquer componente variável. Esta, somada às informações anteriores, desmistificam a impressão de que se tem sobre o setor de TI em geral um exemplo de modelo de flexibilização (quanto às modalidades de contratação, de gestão da jornada de trabalho, de interação no ambiente de </w:t>
      </w:r>
      <w:r>
        <w:rPr>
          <w:rFonts w:cs="Times New Roman" w:ascii="Times New Roman" w:hAnsi="Times New Roman"/>
          <w:color w:val="000000" w:themeColor="text1"/>
          <w:sz w:val="24"/>
          <w:szCs w:val="24"/>
        </w:rPr>
        <w:t>trabalho etc.)</w:t>
      </w:r>
      <w:r>
        <w:rPr>
          <w:rStyle w:val="Ncoradanotaderodap"/>
          <w:rFonts w:cs="Times New Roman" w:ascii="Times New Roman" w:hAnsi="Times New Roman"/>
          <w:color w:val="000000" w:themeColor="text1"/>
          <w:sz w:val="24"/>
          <w:szCs w:val="24"/>
        </w:rPr>
        <w:footnoteReference w:id="11"/>
      </w:r>
      <w:r>
        <w:rPr>
          <w:rFonts w:cs="Times New Roman" w:ascii="Times New Roman" w:hAnsi="Times New Roman"/>
          <w:color w:val="000000" w:themeColor="text1"/>
          <w:sz w:val="24"/>
          <w:szCs w:val="24"/>
        </w:rPr>
        <w:t xml:space="preserve">. </w:t>
      </w:r>
      <w:r>
        <w:rPr>
          <w:rFonts w:cs="Times New Roman" w:ascii="Times New Roman" w:hAnsi="Times New Roman"/>
          <w:sz w:val="24"/>
          <w:szCs w:val="24"/>
        </w:rPr>
        <w:t>Ver Gráfico 12.</w:t>
      </w:r>
    </w:p>
    <w:p>
      <w:pPr>
        <w:pStyle w:val="Normal"/>
        <w:rPr/>
      </w:pPr>
      <w:r>
        <w:rPr/>
      </w:r>
    </w:p>
    <w:p>
      <w:pPr>
        <w:pStyle w:val="Normal"/>
        <w:spacing w:lineRule="auto" w:line="360" w:before="0" w:after="0"/>
        <w:jc w:val="center"/>
        <w:rPr>
          <w:rFonts w:ascii="Arial" w:hAnsi="Arial" w:cs="Arial"/>
          <w:i/>
          <w:i/>
          <w:sz w:val="20"/>
          <w:szCs w:val="20"/>
        </w:rPr>
      </w:pPr>
      <w:r>
        <w:rPr>
          <w:rFonts w:cs="Arial" w:ascii="Arial" w:hAnsi="Arial"/>
          <w:i/>
          <w:sz w:val="20"/>
          <w:szCs w:val="20"/>
        </w:rPr>
        <w:t>Gráfico 12 – Regime de Remuneração</w:t>
      </w:r>
    </w:p>
    <w:p>
      <w:pPr>
        <w:pStyle w:val="Normal"/>
        <w:spacing w:lineRule="auto" w:line="360" w:before="0" w:after="0"/>
        <w:ind w:firstLine="567"/>
        <w:jc w:val="center"/>
        <w:rPr>
          <w:rFonts w:ascii="Times New Roman" w:hAnsi="Times New Roman" w:cs="Times New Roman"/>
          <w:sz w:val="24"/>
          <w:szCs w:val="24"/>
        </w:rPr>
      </w:pPr>
      <w:r>
        <w:rPr/>
        <w:drawing>
          <wp:inline distT="0" distB="0" distL="0" distR="0">
            <wp:extent cx="4173855" cy="2097405"/>
            <wp:effectExtent l="0" t="0" r="0" b="0"/>
            <wp:docPr id="1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Normal"/>
        <w:spacing w:lineRule="auto" w:line="240" w:before="0" w:after="0"/>
        <w:ind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pPr>
      <w:r>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O tema da saúde relacionada ao trabalho é sempre algo de difícil apreensão, visto que os próprios trabalhadores em geral não dispõem de informações e instrumentos para relacionar uma situação à outra. Contudo, submetemos os entrevistados a uma primeira pergunta sobre se os mesmos tinham conhecimento de problema de saúde neles próprios. As respostas podem ser conferidas no Gráfico 13, referindo-se a </w:t>
      </w:r>
      <w:r>
        <w:rPr>
          <w:rFonts w:cs="Times New Roman" w:ascii="Times New Roman" w:hAnsi="Times New Roman"/>
          <w:i/>
          <w:sz w:val="24"/>
          <w:szCs w:val="24"/>
        </w:rPr>
        <w:t>stress</w:t>
      </w:r>
      <w:r>
        <w:rPr>
          <w:rFonts w:cs="Times New Roman" w:ascii="Times New Roman" w:hAnsi="Times New Roman"/>
          <w:sz w:val="24"/>
          <w:szCs w:val="24"/>
        </w:rPr>
        <w:t xml:space="preserve">, </w:t>
      </w:r>
      <w:r>
        <w:rPr>
          <w:rFonts w:cs="Times New Roman" w:ascii="Times New Roman" w:hAnsi="Times New Roman"/>
          <w:i/>
          <w:sz w:val="24"/>
          <w:szCs w:val="24"/>
        </w:rPr>
        <w:t>lesões por esforços repetitivos</w:t>
      </w:r>
      <w:r>
        <w:rPr>
          <w:rFonts w:cs="Times New Roman" w:ascii="Times New Roman" w:hAnsi="Times New Roman"/>
          <w:sz w:val="24"/>
          <w:szCs w:val="24"/>
        </w:rPr>
        <w:t xml:space="preserve">, </w:t>
      </w:r>
      <w:r>
        <w:rPr>
          <w:rFonts w:cs="Times New Roman" w:ascii="Times New Roman" w:hAnsi="Times New Roman"/>
          <w:i/>
          <w:sz w:val="24"/>
          <w:szCs w:val="24"/>
        </w:rPr>
        <w:t>problemas de coluna</w:t>
      </w:r>
      <w:r>
        <w:rPr>
          <w:rFonts w:cs="Times New Roman" w:ascii="Times New Roman" w:hAnsi="Times New Roman"/>
          <w:sz w:val="24"/>
          <w:szCs w:val="24"/>
        </w:rPr>
        <w:t xml:space="preserve">, </w:t>
      </w:r>
      <w:r>
        <w:rPr>
          <w:rFonts w:cs="Times New Roman" w:ascii="Times New Roman" w:hAnsi="Times New Roman"/>
          <w:i/>
          <w:sz w:val="24"/>
          <w:szCs w:val="24"/>
        </w:rPr>
        <w:t>dores de cabeça</w:t>
      </w:r>
      <w:r>
        <w:rPr>
          <w:rFonts w:cs="Times New Roman" w:ascii="Times New Roman" w:hAnsi="Times New Roman"/>
          <w:sz w:val="24"/>
          <w:szCs w:val="24"/>
        </w:rPr>
        <w:t xml:space="preserve"> e </w:t>
      </w:r>
      <w:r>
        <w:rPr>
          <w:rFonts w:cs="Times New Roman" w:ascii="Times New Roman" w:hAnsi="Times New Roman"/>
          <w:i/>
          <w:sz w:val="24"/>
          <w:szCs w:val="24"/>
        </w:rPr>
        <w:t>acidentes de trabalho</w:t>
      </w:r>
      <w:r>
        <w:rPr>
          <w:rFonts w:cs="Times New Roman" w:ascii="Times New Roman" w:hAnsi="Times New Roman"/>
          <w:sz w:val="24"/>
          <w:szCs w:val="24"/>
        </w:rPr>
        <w:t xml:space="preserve"> (foram listados ainda, mas sem ocorrências, </w:t>
      </w:r>
      <w:r>
        <w:rPr>
          <w:rFonts w:cs="Times New Roman" w:ascii="Times New Roman" w:hAnsi="Times New Roman"/>
          <w:i/>
          <w:sz w:val="24"/>
          <w:szCs w:val="24"/>
        </w:rPr>
        <w:t>desequilíbrio emocional</w:t>
      </w:r>
      <w:r>
        <w:rPr>
          <w:rFonts w:cs="Times New Roman" w:ascii="Times New Roman" w:hAnsi="Times New Roman"/>
          <w:sz w:val="24"/>
          <w:szCs w:val="24"/>
        </w:rPr>
        <w:t xml:space="preserve"> e </w:t>
      </w:r>
      <w:r>
        <w:rPr>
          <w:rFonts w:cs="Times New Roman" w:ascii="Times New Roman" w:hAnsi="Times New Roman"/>
          <w:i/>
          <w:sz w:val="24"/>
          <w:szCs w:val="24"/>
        </w:rPr>
        <w:t>outros</w:t>
      </w:r>
      <w:r>
        <w:rPr>
          <w:rFonts w:cs="Times New Roman" w:ascii="Times New Roman" w:hAnsi="Times New Roman"/>
          <w:sz w:val="24"/>
          <w:szCs w:val="24"/>
        </w:rPr>
        <w:t xml:space="preserve">). </w:t>
      </w:r>
      <w:r>
        <w:rPr>
          <w:rFonts w:cs="Times New Roman" w:ascii="Times New Roman" w:hAnsi="Times New Roman"/>
          <w:i/>
          <w:sz w:val="24"/>
          <w:szCs w:val="24"/>
        </w:rPr>
        <w:t>Lesões por esforços repetitivos</w:t>
      </w:r>
      <w:r>
        <w:rPr>
          <w:rFonts w:cs="Times New Roman" w:ascii="Times New Roman" w:hAnsi="Times New Roman"/>
          <w:sz w:val="24"/>
          <w:szCs w:val="24"/>
        </w:rPr>
        <w:t xml:space="preserve"> (com 25,3%) e </w:t>
      </w:r>
      <w:r>
        <w:rPr>
          <w:rFonts w:cs="Times New Roman" w:ascii="Times New Roman" w:hAnsi="Times New Roman"/>
          <w:i/>
          <w:sz w:val="24"/>
          <w:szCs w:val="24"/>
        </w:rPr>
        <w:t>stress</w:t>
      </w:r>
      <w:r>
        <w:rPr>
          <w:rFonts w:cs="Times New Roman" w:ascii="Times New Roman" w:hAnsi="Times New Roman"/>
          <w:sz w:val="24"/>
          <w:szCs w:val="24"/>
        </w:rPr>
        <w:t xml:space="preserve"> (com 19,9% de incidência) foram as que mais se sobressaíram.</w:t>
      </w:r>
      <w:r>
        <w:rPr>
          <w:rFonts w:cs="Arial" w:ascii="Arial" w:hAnsi="Arial"/>
          <w:color w:val="000000"/>
          <w:sz w:val="18"/>
          <w:szCs w:val="18"/>
        </w:rPr>
        <w:t xml:space="preserve"> </w:t>
      </w:r>
      <w:r>
        <w:rPr>
          <w:rFonts w:cs="Times New Roman" w:ascii="Times New Roman" w:hAnsi="Times New Roman"/>
          <w:sz w:val="24"/>
          <w:szCs w:val="24"/>
        </w:rPr>
        <w:t>Considere-se que</w:t>
      </w:r>
      <w:r>
        <w:rPr>
          <w:rFonts w:cs="Arial" w:ascii="Arial" w:hAnsi="Arial"/>
          <w:color w:val="000000"/>
          <w:sz w:val="18"/>
          <w:szCs w:val="18"/>
        </w:rPr>
        <w:t xml:space="preserve"> </w:t>
      </w:r>
      <w:r>
        <w:rPr>
          <w:rFonts w:cs="Times New Roman" w:ascii="Times New Roman" w:hAnsi="Times New Roman"/>
          <w:sz w:val="24"/>
          <w:szCs w:val="24"/>
        </w:rPr>
        <w:t>47,2% citaram pelo menos uma das opções disponíveis, o que revela uma proporção bem relevante de trabalhadores que se reconhecem portadores de alguma enfermidade.</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13 – Tem ou teve problemas de saúde</w:t>
      </w:r>
    </w:p>
    <w:tbl>
      <w:tblPr>
        <w:tblStyle w:val="Tabelacomgrade"/>
        <w:tblW w:w="8501" w:type="dxa"/>
        <w:jc w:val="left"/>
        <w:tblInd w:w="0" w:type="dxa"/>
        <w:shd w:fill="FFFFFF" w:val="clear"/>
        <w:tblCellMar>
          <w:top w:w="0" w:type="dxa"/>
          <w:left w:w="70" w:type="dxa"/>
          <w:bottom w:w="0" w:type="dxa"/>
          <w:right w:w="70" w:type="dxa"/>
        </w:tblCellMar>
        <w:tblLook w:firstRow="1" w:noVBand="1" w:lastRow="0" w:firstColumn="1" w:lastColumn="0" w:noHBand="0" w:val="04a0"/>
      </w:tblPr>
      <w:tblGrid>
        <w:gridCol w:w="4250"/>
        <w:gridCol w:w="4250"/>
      </w:tblGrid>
      <w:tr>
        <w:trPr>
          <w:cnfStyle w:val="100000000000" w:firstRow="1" w:lastRow="0" w:firstColumn="0" w:lastColumn="0" w:oddVBand="0" w:evenVBand="0" w:oddHBand="0" w:evenHBand="0" w:firstRowFirstColumn="0" w:firstRowLastColumn="0" w:lastRowFirstColumn="0" w:lastRowLastColumn="0"/>
        </w:trPr>
        <w:tc>
          <w:tcPr>
            <w:tcW w:w="4250" w:type="dxa"/>
            <w:cnfStyle w:val="001000000000" w:firstRow="0" w:lastRow="0" w:firstColumn="1" w:lastColumn="0" w:oddVBand="0" w:evenVBand="0" w:oddHBand="0" w:evenHBand="0" w:firstRowFirstColumn="0" w:firstRowLastColumn="0" w:lastRowFirstColumn="0" w:lastRowLastColumn="0"/>
            <w:tcBorders>
              <w:top w:val="nil"/>
              <w:left w:val="nil"/>
              <w:bottom w:val="single" w:sz="6" w:space="0" w:color="000000"/>
              <w:right w:val="nil"/>
            </w:tcBorders>
            <w:shd w:color="auto" w:fill="FFFFFF" w:themeFill="background1" w:val="clear"/>
          </w:tcPr>
          <w:p>
            <w:pPr>
              <w:pStyle w:val="Normal"/>
              <w:spacing w:lineRule="auto" w:line="360" w:before="0" w:after="0"/>
              <w:jc w:val="both"/>
              <w:rPr>
                <w:rFonts w:ascii="Times New Roman" w:hAnsi="Times New Roman" w:cs="Times New Roman"/>
                <w:b w:val="false"/>
                <w:b w:val="false"/>
                <w:i w:val="false"/>
                <w:i w:val="false"/>
                <w:color w:val="000000" w:themeColor="text1"/>
                <w:sz w:val="24"/>
                <w:szCs w:val="24"/>
              </w:rPr>
            </w:pPr>
            <w:r>
              <w:rPr>
                <w:rFonts w:eastAsia="" w:eastAsiaTheme="minorEastAsia"/>
                <w:b/>
                <w:bCs/>
                <w:i/>
                <w:iCs/>
                <w:color w:val="800000"/>
                <w:sz w:val="20"/>
                <w:szCs w:val="20"/>
                <w:lang w:eastAsia="pt-BR"/>
              </w:rPr>
              <w:drawing>
                <wp:inline distT="0" distB="0" distL="0" distR="0">
                  <wp:extent cx="2599055" cy="1873885"/>
                  <wp:effectExtent l="0" t="0" r="0" b="0"/>
                  <wp:docPr id="1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250" w:type="dxa"/>
            <w:tcBorders>
              <w:top w:val="nil"/>
              <w:left w:val="nil"/>
              <w:bottom w:val="single" w:sz="6" w:space="0" w:color="000000"/>
              <w:right w:val="nil"/>
            </w:tcBorders>
            <w:shd w:color="auto" w:fill="FFFFFF" w:themeFill="background1"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false"/>
                <w:b w:val="false"/>
                <w:i w:val="false"/>
                <w:i w:val="false"/>
                <w:color w:val="000000" w:themeColor="text1"/>
                <w:sz w:val="24"/>
                <w:szCs w:val="24"/>
              </w:rPr>
            </w:pPr>
            <w:r>
              <w:rPr>
                <w:rFonts w:eastAsia="" w:eastAsiaTheme="minorEastAsia"/>
                <w:b/>
                <w:bCs/>
                <w:i/>
                <w:iCs/>
                <w:color w:val="800000"/>
                <w:sz w:val="20"/>
                <w:szCs w:val="20"/>
                <w:lang w:eastAsia="pt-BR"/>
              </w:rPr>
              <w:drawing>
                <wp:inline distT="0" distB="0" distL="0" distR="0">
                  <wp:extent cx="2594610" cy="1873250"/>
                  <wp:effectExtent l="0" t="0" r="0" b="0"/>
                  <wp:docPr id="1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trPr>
          <w:cnfStyle w:val="000000100000" w:firstRow="0" w:lastRow="0" w:firstColumn="0" w:lastColumn="0" w:oddVBand="0" w:evenVBand="0" w:oddHBand="1" w:evenHBand="0" w:firstRowFirstColumn="0" w:firstRowLastColumn="0" w:lastRowFirstColumn="0" w:lastRowLastColumn="0"/>
        </w:trPr>
        <w:tc>
          <w:tcPr>
            <w:tcW w:w="4250"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spacing w:lineRule="auto" w:line="360" w:before="0" w:after="0"/>
              <w:jc w:val="both"/>
              <w:rPr>
                <w:rFonts w:ascii="Times New Roman" w:hAnsi="Times New Roman" w:cs="Times New Roman"/>
                <w:sz w:val="24"/>
                <w:szCs w:val="24"/>
              </w:rPr>
            </w:pPr>
            <w:r>
              <w:rPr>
                <w:rFonts w:eastAsia="" w:eastAsiaTheme="minorEastAsia"/>
                <w:b/>
                <w:bCs/>
                <w:color w:val="auto"/>
                <w:sz w:val="20"/>
                <w:szCs w:val="20"/>
                <w:lang w:eastAsia="pt-BR"/>
              </w:rPr>
              <w:drawing>
                <wp:inline distT="0" distB="0" distL="0" distR="0">
                  <wp:extent cx="2594610" cy="1878330"/>
                  <wp:effectExtent l="0" t="0" r="0" b="0"/>
                  <wp:docPr id="1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250" w:type="dxa"/>
            <w:tcBorders>
              <w:top w:val="nil"/>
              <w:left w:val="nil"/>
              <w:bottom w:val="nil"/>
              <w:right w:val="nil"/>
            </w:tcBorders>
            <w:shd w:color="auto" w:fill="FFFFFF" w:themeFill="background1"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eastAsia="" w:eastAsiaTheme="minorEastAsia"/>
                <w:color w:val="auto"/>
                <w:sz w:val="20"/>
                <w:szCs w:val="20"/>
                <w:lang w:eastAsia="pt-BR"/>
              </w:rPr>
              <w:drawing>
                <wp:inline distT="0" distB="0" distL="0" distR="0">
                  <wp:extent cx="2586355" cy="1877695"/>
                  <wp:effectExtent l="0" t="0" r="0" b="0"/>
                  <wp:docPr id="1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trPr>
          <w:cnfStyle w:val="000000010000" w:firstRow="0" w:lastRow="0" w:firstColumn="0" w:lastColumn="0" w:oddVBand="0" w:evenVBand="0" w:oddHBand="0" w:evenHBand="1" w:firstRowFirstColumn="0" w:firstRowLastColumn="0" w:lastRowFirstColumn="0" w:lastRowLastColumn="0"/>
        </w:trPr>
        <w:tc>
          <w:tcPr>
            <w:tcW w:w="4250"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spacing w:lineRule="auto" w:line="360" w:before="0" w:after="0"/>
              <w:jc w:val="both"/>
              <w:rPr>
                <w:rFonts w:eastAsia="" w:eastAsiaTheme="minorEastAsia"/>
                <w:b/>
                <w:b/>
                <w:bCs/>
                <w:color w:val="auto"/>
                <w:sz w:val="20"/>
                <w:szCs w:val="20"/>
                <w:lang w:eastAsia="pt-BR"/>
              </w:rPr>
            </w:pPr>
            <w:r>
              <w:rPr>
                <w:rFonts w:eastAsia="" w:eastAsiaTheme="minorEastAsia"/>
                <w:b/>
                <w:bCs/>
                <w:color w:val="auto"/>
                <w:sz w:val="20"/>
                <w:szCs w:val="20"/>
                <w:lang w:eastAsia="pt-BR"/>
              </w:rPr>
              <w:drawing>
                <wp:inline distT="0" distB="0" distL="0" distR="0">
                  <wp:extent cx="2586355" cy="1788795"/>
                  <wp:effectExtent l="0" t="0" r="0" b="0"/>
                  <wp:docPr id="2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250" w:type="dxa"/>
            <w:tcBorders>
              <w:top w:val="nil"/>
              <w:left w:val="nil"/>
              <w:bottom w:val="nil"/>
              <w:right w:val="nil"/>
            </w:tcBorders>
            <w:shd w:color="auto" w:fill="FFFFFF" w:themeFill="background1" w:val="clear"/>
          </w:tcPr>
          <w:p>
            <w:pPr>
              <w:pStyle w:val="Normal"/>
              <w:spacing w:lineRule="auto" w:line="360" w:before="0" w:after="0"/>
              <w:jc w:val="both"/>
              <w:cnfStyle w:val="000000010000" w:firstRow="0" w:lastRow="0" w:firstColumn="0" w:lastColumn="0" w:oddVBand="0" w:evenVBand="0" w:oddHBand="0" w:evenHBand="1" w:firstRowFirstColumn="0" w:firstRowLastColumn="0" w:lastRowFirstColumn="0" w:lastRowLastColumn="0"/>
              <w:rPr>
                <w:rFonts w:eastAsia="" w:eastAsiaTheme="minorEastAsia"/>
                <w:color w:val="auto"/>
                <w:sz w:val="20"/>
                <w:szCs w:val="20"/>
                <w:lang w:eastAsia="pt-BR"/>
              </w:rPr>
            </w:pPr>
            <w:r>
              <w:rPr>
                <w:rFonts w:eastAsia="" w:eastAsiaTheme="minorEastAsia"/>
                <w:color w:val="auto"/>
                <w:sz w:val="20"/>
                <w:szCs w:val="20"/>
                <w:lang w:eastAsia="pt-BR"/>
              </w:rPr>
              <w:drawing>
                <wp:inline distT="0" distB="0" distL="0" distR="0">
                  <wp:extent cx="2569210" cy="1797685"/>
                  <wp:effectExtent l="0" t="0" r="0" b="0"/>
                  <wp:docPr id="2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pPr>
        <w:pStyle w:val="Normal"/>
        <w:spacing w:lineRule="auto" w:line="240" w:before="0" w:after="0"/>
        <w:ind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Os </w:t>
      </w:r>
      <w:r>
        <w:rPr>
          <w:rFonts w:cs="Times New Roman" w:ascii="Times New Roman" w:hAnsi="Times New Roman"/>
          <w:i/>
          <w:sz w:val="24"/>
          <w:szCs w:val="24"/>
        </w:rPr>
        <w:t>stress</w:t>
      </w:r>
      <w:r>
        <w:rPr>
          <w:rFonts w:cs="Times New Roman" w:ascii="Times New Roman" w:hAnsi="Times New Roman"/>
          <w:sz w:val="24"/>
          <w:szCs w:val="24"/>
        </w:rPr>
        <w:t xml:space="preserve"> apareceu com mais frequência nas empresas com até 10 empregados e naquelas com 400 e mais empregados, ou seja nas menores e nas maiores. Quanto às </w:t>
      </w:r>
      <w:r>
        <w:rPr>
          <w:rFonts w:cs="Times New Roman" w:ascii="Times New Roman" w:hAnsi="Times New Roman"/>
          <w:i/>
          <w:sz w:val="24"/>
          <w:szCs w:val="24"/>
        </w:rPr>
        <w:t>lesões por esforços repetitivos</w:t>
      </w:r>
      <w:r>
        <w:rPr>
          <w:rFonts w:cs="Times New Roman" w:ascii="Times New Roman" w:hAnsi="Times New Roman"/>
          <w:sz w:val="24"/>
          <w:szCs w:val="24"/>
        </w:rPr>
        <w:t xml:space="preserve">, praticamente não se observa diferenças por porte das empresas. O mesmo ocorreu em relação ao reconhecimento do entrevistado de que porta </w:t>
      </w:r>
      <w:r>
        <w:rPr>
          <w:rFonts w:cs="Times New Roman" w:ascii="Times New Roman" w:hAnsi="Times New Roman"/>
          <w:i/>
          <w:sz w:val="24"/>
          <w:szCs w:val="24"/>
        </w:rPr>
        <w:t>pelo menos um problema de saúde</w:t>
      </w:r>
      <w:r>
        <w:rPr>
          <w:rFonts w:cs="Times New Roman" w:ascii="Times New Roman" w:hAnsi="Times New Roman"/>
          <w:sz w:val="24"/>
          <w:szCs w:val="24"/>
        </w:rPr>
        <w:t>. Ver Tabela 3.</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Tabela 3 – Tem ou teve problemas de saúde e Porte das Empresas</w:t>
      </w:r>
    </w:p>
    <w:tbl>
      <w:tblPr>
        <w:tblStyle w:val="Tabelacomgrade"/>
        <w:tblW w:w="8222" w:type="dxa"/>
        <w:jc w:val="center"/>
        <w:tblInd w:w="0" w:type="dxa"/>
        <w:tblCellMar>
          <w:top w:w="0" w:type="dxa"/>
          <w:left w:w="108" w:type="dxa"/>
          <w:bottom w:w="0" w:type="dxa"/>
          <w:right w:w="108" w:type="dxa"/>
        </w:tblCellMar>
        <w:tblLook w:firstRow="0" w:noVBand="0" w:lastRow="0" w:firstColumn="0" w:lastColumn="0" w:noHBand="0" w:val="0000"/>
      </w:tblPr>
      <w:tblGrid>
        <w:gridCol w:w="1895"/>
        <w:gridCol w:w="797"/>
        <w:gridCol w:w="1"/>
        <w:gridCol w:w="849"/>
        <w:gridCol w:w="850"/>
        <w:gridCol w:w="1"/>
        <w:gridCol w:w="990"/>
        <w:gridCol w:w="1"/>
        <w:gridCol w:w="849"/>
        <w:gridCol w:w="993"/>
        <w:gridCol w:w="1"/>
        <w:gridCol w:w="1"/>
        <w:gridCol w:w="993"/>
      </w:tblGrid>
      <w:tr>
        <w:trPr>
          <w:trHeight w:val="20" w:hRule="atLeast"/>
          <w:cnfStyle w:val="000000100000" w:firstRow="0" w:lastRow="0" w:firstColumn="0" w:lastColumn="0" w:oddVBand="0" w:evenVBand="0" w:oddHBand="1" w:evenHBand="0" w:firstRowFirstColumn="0" w:firstRowLastColumn="0" w:lastRowFirstColumn="0" w:lastRowLastColumn="0"/>
        </w:trPr>
        <w:tc>
          <w:tcPr>
            <w:tcW w:w="2693" w:type="dxa"/>
            <w:gridSpan w:val="3"/>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eastAsiaTheme="minorEastAsia"/>
                <w:color w:val="auto"/>
                <w:sz w:val="16"/>
                <w:szCs w:val="16"/>
                <w:lang w:eastAsia="pt-BR"/>
              </w:rPr>
            </w:pPr>
            <w:r>
              <w:rPr>
                <w:rFonts w:eastAsia="" w:cs="Times New Roman" w:eastAsiaTheme="minorEastAsia" w:ascii="Times New Roman" w:hAnsi="Times New Roman"/>
                <w:color w:val="auto"/>
                <w:sz w:val="16"/>
                <w:szCs w:val="16"/>
                <w:lang w:eastAsia="pt-BR"/>
              </w:rPr>
            </w:r>
          </w:p>
        </w:tc>
        <w:tc>
          <w:tcPr>
            <w:tcW w:w="4535" w:type="dxa"/>
            <w:gridSpan w:val="9"/>
            <w:tcBorders/>
            <w:shd w:color="C0C0C0" w:fill="FFFFFF" w:val="solid"/>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Porte das Empresas</w:t>
            </w:r>
          </w:p>
        </w:tc>
        <w:tc>
          <w:tcPr>
            <w:tcW w:w="993" w:type="dxa"/>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Total</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2693" w:type="dxa"/>
            <w:gridSpan w:val="3"/>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c>
          <w:tcPr>
            <w:tcW w:w="849" w:type="dxa"/>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Até 10</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De 11 a 50</w:t>
            </w:r>
          </w:p>
        </w:tc>
        <w:tc>
          <w:tcPr>
            <w:tcW w:w="991" w:type="dxa"/>
            <w:gridSpan w:val="2"/>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De 51 a 100</w:t>
            </w:r>
          </w:p>
        </w:tc>
        <w:tc>
          <w:tcPr>
            <w:tcW w:w="849"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De 101 a 400</w:t>
            </w:r>
          </w:p>
        </w:tc>
        <w:tc>
          <w:tcPr>
            <w:tcW w:w="994" w:type="dxa"/>
            <w:gridSpan w:val="2"/>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Acima de 400</w:t>
            </w:r>
          </w:p>
        </w:tc>
        <w:tc>
          <w:tcPr>
            <w:tcW w:w="994"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1895"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b/>
                <w:b/>
                <w:color w:val="000000"/>
                <w:sz w:val="16"/>
                <w:szCs w:val="16"/>
              </w:rPr>
            </w:pPr>
            <w:r>
              <w:rPr>
                <w:rFonts w:eastAsia="" w:cs="Times New Roman" w:eastAsiaTheme="minorEastAsia" w:ascii="Times New Roman" w:hAnsi="Times New Roman"/>
                <w:b/>
                <w:color w:val="000000"/>
                <w:sz w:val="16"/>
                <w:szCs w:val="16"/>
                <w:lang w:eastAsia="pt-BR"/>
              </w:rPr>
              <w:t>Stress</w:t>
            </w:r>
          </w:p>
        </w:tc>
        <w:tc>
          <w:tcPr>
            <w:tcW w:w="797"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Não</w:t>
            </w:r>
          </w:p>
        </w:tc>
        <w:tc>
          <w:tcPr>
            <w:tcW w:w="850"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75,8%</w:t>
            </w:r>
          </w:p>
        </w:tc>
        <w:tc>
          <w:tcPr>
            <w:tcW w:w="850" w:type="dxa"/>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82,7%</w:t>
            </w:r>
          </w:p>
        </w:tc>
        <w:tc>
          <w:tcPr>
            <w:tcW w:w="99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83,3%</w:t>
            </w:r>
          </w:p>
        </w:tc>
        <w:tc>
          <w:tcPr>
            <w:tcW w:w="850"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82,5%</w:t>
            </w:r>
          </w:p>
        </w:tc>
        <w:tc>
          <w:tcPr>
            <w:tcW w:w="99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76,2%</w:t>
            </w:r>
          </w:p>
        </w:tc>
        <w:tc>
          <w:tcPr>
            <w:tcW w:w="995" w:type="dxa"/>
            <w:gridSpan w:val="3"/>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80,1%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1895"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c>
          <w:tcPr>
            <w:tcW w:w="797"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Sim</w:t>
            </w:r>
          </w:p>
        </w:tc>
        <w:tc>
          <w:tcPr>
            <w:tcW w:w="850"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24,2%</w:t>
            </w:r>
          </w:p>
        </w:tc>
        <w:tc>
          <w:tcPr>
            <w:tcW w:w="850" w:type="dxa"/>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17,3%</w:t>
            </w:r>
          </w:p>
        </w:tc>
        <w:tc>
          <w:tcPr>
            <w:tcW w:w="99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16,7%</w:t>
            </w:r>
          </w:p>
        </w:tc>
        <w:tc>
          <w:tcPr>
            <w:tcW w:w="850"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17,5%</w:t>
            </w:r>
          </w:p>
        </w:tc>
        <w:tc>
          <w:tcPr>
            <w:tcW w:w="99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23,8%</w:t>
            </w:r>
          </w:p>
        </w:tc>
        <w:tc>
          <w:tcPr>
            <w:tcW w:w="995" w:type="dxa"/>
            <w:gridSpan w:val="3"/>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19,9%</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2693"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Total</w:t>
            </w:r>
          </w:p>
        </w:tc>
        <w:tc>
          <w:tcPr>
            <w:tcW w:w="849" w:type="dxa"/>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1"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849"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4"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4"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1895"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b/>
                <w:b/>
                <w:color w:val="000000"/>
                <w:sz w:val="16"/>
                <w:szCs w:val="16"/>
              </w:rPr>
            </w:pPr>
            <w:r>
              <w:rPr>
                <w:rFonts w:eastAsia="" w:cs="Times New Roman" w:eastAsiaTheme="minorEastAsia" w:ascii="Times New Roman" w:hAnsi="Times New Roman"/>
                <w:b/>
                <w:bCs/>
                <w:color w:val="000000"/>
                <w:sz w:val="16"/>
                <w:szCs w:val="16"/>
                <w:lang w:eastAsia="pt-BR"/>
              </w:rPr>
              <w:t>Lesões por esforços repetitivos</w:t>
            </w:r>
          </w:p>
        </w:tc>
        <w:tc>
          <w:tcPr>
            <w:tcW w:w="797"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Não</w:t>
            </w:r>
          </w:p>
        </w:tc>
        <w:tc>
          <w:tcPr>
            <w:tcW w:w="850"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74,1%</w:t>
            </w:r>
          </w:p>
        </w:tc>
        <w:tc>
          <w:tcPr>
            <w:tcW w:w="850" w:type="dxa"/>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72,7%</w:t>
            </w:r>
          </w:p>
        </w:tc>
        <w:tc>
          <w:tcPr>
            <w:tcW w:w="99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76,2%</w:t>
            </w:r>
          </w:p>
        </w:tc>
        <w:tc>
          <w:tcPr>
            <w:tcW w:w="850"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79,7%</w:t>
            </w:r>
          </w:p>
        </w:tc>
        <w:tc>
          <w:tcPr>
            <w:tcW w:w="99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70,9%</w:t>
            </w:r>
          </w:p>
        </w:tc>
        <w:tc>
          <w:tcPr>
            <w:tcW w:w="995" w:type="dxa"/>
            <w:gridSpan w:val="3"/>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74,7%</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1895"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c>
          <w:tcPr>
            <w:tcW w:w="797"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Sim</w:t>
            </w:r>
          </w:p>
        </w:tc>
        <w:tc>
          <w:tcPr>
            <w:tcW w:w="850"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25,9%</w:t>
            </w:r>
          </w:p>
        </w:tc>
        <w:tc>
          <w:tcPr>
            <w:tcW w:w="850" w:type="dxa"/>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27,3%</w:t>
            </w:r>
          </w:p>
        </w:tc>
        <w:tc>
          <w:tcPr>
            <w:tcW w:w="99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23,8%</w:t>
            </w:r>
          </w:p>
        </w:tc>
        <w:tc>
          <w:tcPr>
            <w:tcW w:w="850"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20,3%</w:t>
            </w:r>
          </w:p>
        </w:tc>
        <w:tc>
          <w:tcPr>
            <w:tcW w:w="99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29,1%</w:t>
            </w:r>
          </w:p>
        </w:tc>
        <w:tc>
          <w:tcPr>
            <w:tcW w:w="995" w:type="dxa"/>
            <w:gridSpan w:val="3"/>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25,3%</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2693"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Total</w:t>
            </w:r>
          </w:p>
        </w:tc>
        <w:tc>
          <w:tcPr>
            <w:tcW w:w="849" w:type="dxa"/>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1"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849"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4"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4"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1895"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b/>
                <w:b/>
                <w:color w:val="000000"/>
                <w:sz w:val="16"/>
                <w:szCs w:val="16"/>
              </w:rPr>
            </w:pPr>
            <w:r>
              <w:rPr>
                <w:rFonts w:eastAsia="" w:cs="Times New Roman" w:eastAsiaTheme="minorEastAsia" w:ascii="Times New Roman" w:hAnsi="Times New Roman"/>
                <w:b/>
                <w:bCs/>
                <w:color w:val="000000"/>
                <w:sz w:val="16"/>
                <w:szCs w:val="16"/>
                <w:lang w:eastAsia="pt-BR"/>
              </w:rPr>
              <w:t>Problemas de coluna</w:t>
            </w:r>
          </w:p>
        </w:tc>
        <w:tc>
          <w:tcPr>
            <w:tcW w:w="797"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Não</w:t>
            </w:r>
          </w:p>
        </w:tc>
        <w:tc>
          <w:tcPr>
            <w:tcW w:w="850"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98,5%</w:t>
            </w:r>
          </w:p>
        </w:tc>
        <w:tc>
          <w:tcPr>
            <w:tcW w:w="850" w:type="dxa"/>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97,1%</w:t>
            </w:r>
          </w:p>
        </w:tc>
        <w:tc>
          <w:tcPr>
            <w:tcW w:w="99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98,8%</w:t>
            </w:r>
          </w:p>
        </w:tc>
        <w:tc>
          <w:tcPr>
            <w:tcW w:w="850"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98,3%</w:t>
            </w:r>
          </w:p>
        </w:tc>
        <w:tc>
          <w:tcPr>
            <w:tcW w:w="995" w:type="dxa"/>
            <w:gridSpan w:val="3"/>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98,5%</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1895"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c>
          <w:tcPr>
            <w:tcW w:w="797"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Sim</w:t>
            </w:r>
          </w:p>
        </w:tc>
        <w:tc>
          <w:tcPr>
            <w:tcW w:w="850"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1,5%</w:t>
            </w:r>
          </w:p>
        </w:tc>
        <w:tc>
          <w:tcPr>
            <w:tcW w:w="850" w:type="dxa"/>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2,9%</w:t>
            </w:r>
          </w:p>
        </w:tc>
        <w:tc>
          <w:tcPr>
            <w:tcW w:w="99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1,2%</w:t>
            </w:r>
          </w:p>
        </w:tc>
        <w:tc>
          <w:tcPr>
            <w:tcW w:w="850" w:type="dxa"/>
            <w:gridSpan w:val="2"/>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color w:val="auto"/>
                <w:sz w:val="16"/>
                <w:szCs w:val="16"/>
                <w:lang w:eastAsia="pt-BR"/>
              </w:rPr>
            </w:pPr>
            <w:r>
              <w:rPr>
                <w:rFonts w:eastAsia="" w:cs="Times New Roman" w:eastAsiaTheme="minorEastAsia" w:ascii="Times New Roman" w:hAnsi="Times New Roman"/>
                <w:color w:val="auto"/>
                <w:sz w:val="16"/>
                <w:szCs w:val="16"/>
                <w:lang w:eastAsia="pt-BR"/>
              </w:rPr>
            </w:r>
          </w:p>
        </w:tc>
        <w:tc>
          <w:tcPr>
            <w:tcW w:w="99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1,7%</w:t>
            </w:r>
          </w:p>
        </w:tc>
        <w:tc>
          <w:tcPr>
            <w:tcW w:w="995" w:type="dxa"/>
            <w:gridSpan w:val="3"/>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1,5%</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2693"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Total</w:t>
            </w:r>
          </w:p>
        </w:tc>
        <w:tc>
          <w:tcPr>
            <w:tcW w:w="849" w:type="dxa"/>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1"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849"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4"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4"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1895"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b/>
                <w:b/>
                <w:color w:val="000000"/>
                <w:sz w:val="16"/>
                <w:szCs w:val="16"/>
              </w:rPr>
            </w:pPr>
            <w:r>
              <w:rPr>
                <w:rFonts w:eastAsia="" w:cs="Times New Roman" w:eastAsiaTheme="minorEastAsia" w:ascii="Times New Roman" w:hAnsi="Times New Roman"/>
                <w:b/>
                <w:bCs/>
                <w:color w:val="000000"/>
                <w:sz w:val="16"/>
                <w:szCs w:val="16"/>
                <w:lang w:eastAsia="pt-BR"/>
              </w:rPr>
              <w:t>Dores de cabeça</w:t>
            </w:r>
          </w:p>
        </w:tc>
        <w:tc>
          <w:tcPr>
            <w:tcW w:w="797"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Não</w:t>
            </w:r>
          </w:p>
        </w:tc>
        <w:tc>
          <w:tcPr>
            <w:tcW w:w="850"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95,5%</w:t>
            </w:r>
          </w:p>
        </w:tc>
        <w:tc>
          <w:tcPr>
            <w:tcW w:w="850" w:type="dxa"/>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90,6%</w:t>
            </w:r>
          </w:p>
        </w:tc>
        <w:tc>
          <w:tcPr>
            <w:tcW w:w="99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97,6%</w:t>
            </w:r>
          </w:p>
        </w:tc>
        <w:tc>
          <w:tcPr>
            <w:tcW w:w="850"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93,0%</w:t>
            </w:r>
          </w:p>
        </w:tc>
        <w:tc>
          <w:tcPr>
            <w:tcW w:w="99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90,7%</w:t>
            </w:r>
          </w:p>
        </w:tc>
        <w:tc>
          <w:tcPr>
            <w:tcW w:w="995" w:type="dxa"/>
            <w:gridSpan w:val="3"/>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92,7%</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1895"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c>
          <w:tcPr>
            <w:tcW w:w="797"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Sim</w:t>
            </w:r>
          </w:p>
        </w:tc>
        <w:tc>
          <w:tcPr>
            <w:tcW w:w="850"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4,5%</w:t>
            </w:r>
          </w:p>
        </w:tc>
        <w:tc>
          <w:tcPr>
            <w:tcW w:w="850" w:type="dxa"/>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9,4%</w:t>
            </w:r>
          </w:p>
        </w:tc>
        <w:tc>
          <w:tcPr>
            <w:tcW w:w="99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2,4%</w:t>
            </w:r>
          </w:p>
        </w:tc>
        <w:tc>
          <w:tcPr>
            <w:tcW w:w="850"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7,0%</w:t>
            </w:r>
          </w:p>
        </w:tc>
        <w:tc>
          <w:tcPr>
            <w:tcW w:w="99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9,3%</w:t>
            </w:r>
          </w:p>
        </w:tc>
        <w:tc>
          <w:tcPr>
            <w:tcW w:w="995" w:type="dxa"/>
            <w:gridSpan w:val="3"/>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7,3%</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2693"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Total</w:t>
            </w:r>
          </w:p>
        </w:tc>
        <w:tc>
          <w:tcPr>
            <w:tcW w:w="849" w:type="dxa"/>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1"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849"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4"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4"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1895"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b/>
                <w:b/>
                <w:color w:val="000000"/>
                <w:sz w:val="16"/>
                <w:szCs w:val="16"/>
              </w:rPr>
            </w:pPr>
            <w:r>
              <w:rPr>
                <w:rFonts w:eastAsia="" w:cs="Times New Roman" w:eastAsiaTheme="minorEastAsia" w:ascii="Times New Roman" w:hAnsi="Times New Roman"/>
                <w:b/>
                <w:bCs/>
                <w:color w:val="000000"/>
                <w:sz w:val="16"/>
                <w:szCs w:val="16"/>
                <w:lang w:eastAsia="pt-BR"/>
              </w:rPr>
              <w:t>Acidentes de trabalho</w:t>
            </w:r>
          </w:p>
        </w:tc>
        <w:tc>
          <w:tcPr>
            <w:tcW w:w="797"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Não</w:t>
            </w:r>
          </w:p>
        </w:tc>
        <w:tc>
          <w:tcPr>
            <w:tcW w:w="850"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97,0%</w:t>
            </w:r>
          </w:p>
        </w:tc>
        <w:tc>
          <w:tcPr>
            <w:tcW w:w="850" w:type="dxa"/>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97,6%</w:t>
            </w:r>
          </w:p>
        </w:tc>
        <w:tc>
          <w:tcPr>
            <w:tcW w:w="850"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96,5%</w:t>
            </w:r>
          </w:p>
        </w:tc>
        <w:tc>
          <w:tcPr>
            <w:tcW w:w="99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99,4%</w:t>
            </w:r>
          </w:p>
        </w:tc>
        <w:tc>
          <w:tcPr>
            <w:tcW w:w="995" w:type="dxa"/>
            <w:gridSpan w:val="3"/>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98,3%</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1895"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c>
          <w:tcPr>
            <w:tcW w:w="797"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Sim</w:t>
            </w:r>
          </w:p>
        </w:tc>
        <w:tc>
          <w:tcPr>
            <w:tcW w:w="850"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3,0%</w:t>
            </w:r>
          </w:p>
        </w:tc>
        <w:tc>
          <w:tcPr>
            <w:tcW w:w="850" w:type="dxa"/>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0,0</w:t>
            </w:r>
          </w:p>
        </w:tc>
        <w:tc>
          <w:tcPr>
            <w:tcW w:w="99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2,4%</w:t>
            </w:r>
          </w:p>
        </w:tc>
        <w:tc>
          <w:tcPr>
            <w:tcW w:w="850"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3,5%</w:t>
            </w:r>
          </w:p>
        </w:tc>
        <w:tc>
          <w:tcPr>
            <w:tcW w:w="99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0,6%</w:t>
            </w:r>
          </w:p>
        </w:tc>
        <w:tc>
          <w:tcPr>
            <w:tcW w:w="995" w:type="dxa"/>
            <w:gridSpan w:val="3"/>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1,7%</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2693"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Total</w:t>
            </w:r>
          </w:p>
        </w:tc>
        <w:tc>
          <w:tcPr>
            <w:tcW w:w="849" w:type="dxa"/>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1"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849"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4"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4"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1895"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b/>
                <w:b/>
                <w:bCs/>
                <w:color w:val="000000"/>
                <w:sz w:val="16"/>
                <w:szCs w:val="16"/>
              </w:rPr>
            </w:pPr>
            <w:r>
              <w:rPr>
                <w:rFonts w:eastAsia="" w:cs="Times New Roman" w:eastAsiaTheme="minorEastAsia" w:ascii="Times New Roman" w:hAnsi="Times New Roman"/>
                <w:b/>
                <w:bCs/>
                <w:color w:val="000000"/>
                <w:sz w:val="16"/>
                <w:szCs w:val="16"/>
                <w:lang w:eastAsia="pt-BR"/>
              </w:rPr>
              <w:t>Pelo menos um problema de saúde</w:t>
            </w:r>
          </w:p>
        </w:tc>
        <w:tc>
          <w:tcPr>
            <w:tcW w:w="797"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Não</w:t>
            </w:r>
          </w:p>
        </w:tc>
        <w:tc>
          <w:tcPr>
            <w:tcW w:w="850"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53,0%</w:t>
            </w:r>
          </w:p>
        </w:tc>
        <w:tc>
          <w:tcPr>
            <w:tcW w:w="850" w:type="dxa"/>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52,5%</w:t>
            </w:r>
          </w:p>
        </w:tc>
        <w:tc>
          <w:tcPr>
            <w:tcW w:w="99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57,1%</w:t>
            </w:r>
          </w:p>
        </w:tc>
        <w:tc>
          <w:tcPr>
            <w:tcW w:w="850"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53,1%</w:t>
            </w:r>
          </w:p>
        </w:tc>
        <w:tc>
          <w:tcPr>
            <w:tcW w:w="99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50,6%</w:t>
            </w:r>
          </w:p>
        </w:tc>
        <w:tc>
          <w:tcPr>
            <w:tcW w:w="995" w:type="dxa"/>
            <w:gridSpan w:val="3"/>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52,8%</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1895"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c>
          <w:tcPr>
            <w:tcW w:w="797"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Sim</w:t>
            </w:r>
          </w:p>
        </w:tc>
        <w:tc>
          <w:tcPr>
            <w:tcW w:w="850"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47,0%</w:t>
            </w:r>
          </w:p>
        </w:tc>
        <w:tc>
          <w:tcPr>
            <w:tcW w:w="850" w:type="dxa"/>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47,5%</w:t>
            </w:r>
          </w:p>
        </w:tc>
        <w:tc>
          <w:tcPr>
            <w:tcW w:w="99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42,9%</w:t>
            </w:r>
          </w:p>
        </w:tc>
        <w:tc>
          <w:tcPr>
            <w:tcW w:w="850"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46,9%</w:t>
            </w:r>
          </w:p>
        </w:tc>
        <w:tc>
          <w:tcPr>
            <w:tcW w:w="99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49,4%</w:t>
            </w:r>
          </w:p>
        </w:tc>
        <w:tc>
          <w:tcPr>
            <w:tcW w:w="995" w:type="dxa"/>
            <w:gridSpan w:val="3"/>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47,2%</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2693"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Total</w:t>
            </w:r>
          </w:p>
        </w:tc>
        <w:tc>
          <w:tcPr>
            <w:tcW w:w="849" w:type="dxa"/>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1"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849"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4"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4"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r>
    </w:tbl>
    <w:p>
      <w:pPr>
        <w:pStyle w:val="Normal"/>
        <w:spacing w:lineRule="auto" w:line="240" w:before="0" w:after="0"/>
        <w:ind w:left="708"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Esse quesito, visto em relação a </w:t>
      </w:r>
      <w:r>
        <w:rPr>
          <w:rFonts w:cs="Times New Roman" w:ascii="Times New Roman" w:hAnsi="Times New Roman"/>
          <w:i/>
          <w:sz w:val="24"/>
          <w:szCs w:val="24"/>
        </w:rPr>
        <w:t>sexo</w:t>
      </w:r>
      <w:r>
        <w:rPr>
          <w:rFonts w:cs="Times New Roman" w:ascii="Times New Roman" w:hAnsi="Times New Roman"/>
          <w:sz w:val="24"/>
          <w:szCs w:val="24"/>
        </w:rPr>
        <w:t xml:space="preserve">, indica que em quase </w:t>
      </w:r>
      <w:r>
        <w:rPr>
          <w:rFonts w:cs="Times New Roman" w:ascii="Times New Roman" w:hAnsi="Times New Roman"/>
          <w:color w:val="000000" w:themeColor="text1"/>
          <w:sz w:val="24"/>
          <w:szCs w:val="24"/>
        </w:rPr>
        <w:t>todas</w:t>
      </w:r>
      <w:r>
        <w:rPr>
          <w:rFonts w:cs="Times New Roman" w:ascii="Times New Roman" w:hAnsi="Times New Roman"/>
          <w:sz w:val="24"/>
          <w:szCs w:val="24"/>
        </w:rPr>
        <w:t xml:space="preserve"> as opções as mulheres apresentaram maiores proporções de reconhecimento de problemas de saúde.</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Tabela 4 – Tem ou teve problemas de saúde e Sexo</w:t>
      </w:r>
    </w:p>
    <w:tbl>
      <w:tblPr>
        <w:tblStyle w:val="Tabelacomgrade"/>
        <w:tblW w:w="6663" w:type="dxa"/>
        <w:jc w:val="center"/>
        <w:tblInd w:w="0" w:type="dxa"/>
        <w:tblCellMar>
          <w:top w:w="0" w:type="dxa"/>
          <w:left w:w="108" w:type="dxa"/>
          <w:bottom w:w="0" w:type="dxa"/>
          <w:right w:w="108" w:type="dxa"/>
        </w:tblCellMar>
        <w:tblLook w:firstRow="0" w:noVBand="0" w:lastRow="0" w:firstColumn="0" w:lastColumn="0" w:noHBand="0" w:val="0000"/>
      </w:tblPr>
      <w:tblGrid>
        <w:gridCol w:w="1843"/>
        <w:gridCol w:w="850"/>
        <w:gridCol w:w="1274"/>
        <w:gridCol w:w="1"/>
        <w:gridCol w:w="1417"/>
        <w:gridCol w:w="1"/>
        <w:gridCol w:w="1277"/>
      </w:tblGrid>
      <w:tr>
        <w:trPr>
          <w:cnfStyle w:val="000000100000" w:firstRow="0" w:lastRow="0" w:firstColumn="0" w:lastColumn="0" w:oddVBand="0" w:evenVBand="0" w:oddHBand="1" w:evenHBand="0" w:firstRowFirstColumn="0" w:firstRowLastColumn="0" w:lastRowFirstColumn="0" w:lastRowLastColumn="0"/>
        </w:trPr>
        <w:tc>
          <w:tcPr>
            <w:tcW w:w="2693" w:type="dxa"/>
            <w:gridSpan w:val="2"/>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2693" w:type="dxa"/>
            <w:gridSpan w:val="4"/>
            <w:tcBorders/>
            <w:shd w:color="C0C0C0" w:fill="FFFFFF" w:val="solid"/>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Sexo</w:t>
            </w:r>
          </w:p>
        </w:tc>
        <w:tc>
          <w:tcPr>
            <w:tcW w:w="1277" w:type="dxa"/>
            <w:vMerge w:val="restart"/>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Total</w:t>
            </w:r>
          </w:p>
        </w:tc>
      </w:tr>
      <w:tr>
        <w:trPr>
          <w:cnfStyle w:val="000000010000" w:firstRow="0" w:lastRow="0" w:firstColumn="0" w:lastColumn="0" w:oddVBand="0" w:evenVBand="0" w:oddHBand="0" w:evenHBand="1" w:firstRowFirstColumn="0" w:firstRowLastColumn="0" w:lastRowFirstColumn="0" w:lastRowLastColumn="0"/>
        </w:trPr>
        <w:tc>
          <w:tcPr>
            <w:tcW w:w="2693" w:type="dxa"/>
            <w:gridSpan w:val="2"/>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1275" w:type="dxa"/>
            <w:gridSpan w:val="2"/>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Feminino</w:t>
            </w:r>
          </w:p>
        </w:tc>
        <w:tc>
          <w:tcPr>
            <w:tcW w:w="1417"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Masculino</w:t>
            </w:r>
          </w:p>
        </w:tc>
        <w:tc>
          <w:tcPr>
            <w:tcW w:w="1278" w:type="dxa"/>
            <w:gridSpan w:val="2"/>
            <w:vMerge w:val="continue"/>
            <w:tcBorders>
              <w:right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r>
      <w:tr>
        <w:trPr>
          <w:cnfStyle w:val="000000100000" w:firstRow="0" w:lastRow="0" w:firstColumn="0" w:lastColumn="0" w:oddVBand="0" w:evenVBand="0" w:oddHBand="1" w:evenHBand="0" w:firstRowFirstColumn="0" w:firstRowLastColumn="0" w:lastRowFirstColumn="0" w:lastRowLastColumn="0"/>
        </w:trPr>
        <w:tc>
          <w:tcPr>
            <w:tcW w:w="1843"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b/>
                <w:color w:val="000000" w:themeColor="text1"/>
                <w:sz w:val="18"/>
                <w:szCs w:val="18"/>
                <w:lang w:eastAsia="pt-BR"/>
              </w:rPr>
              <w:t>Stress</w:t>
            </w:r>
          </w:p>
        </w:tc>
        <w:tc>
          <w:tcPr>
            <w:tcW w:w="850"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Sim</w:t>
            </w:r>
          </w:p>
        </w:tc>
        <w:tc>
          <w:tcPr>
            <w:tcW w:w="1274"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22,5%</w:t>
            </w:r>
          </w:p>
        </w:tc>
        <w:tc>
          <w:tcPr>
            <w:tcW w:w="1418"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18,8%</w:t>
            </w:r>
          </w:p>
        </w:tc>
        <w:tc>
          <w:tcPr>
            <w:tcW w:w="1278"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19,9%</w:t>
            </w:r>
          </w:p>
        </w:tc>
      </w:tr>
      <w:tr>
        <w:trPr>
          <w:cnfStyle w:val="000000010000" w:firstRow="0" w:lastRow="0" w:firstColumn="0" w:lastColumn="0" w:oddVBand="0" w:evenVBand="0" w:oddHBand="0" w:evenHBand="1" w:firstRowFirstColumn="0" w:firstRowLastColumn="0" w:lastRowFirstColumn="0" w:lastRowLastColumn="0"/>
        </w:trPr>
        <w:tc>
          <w:tcPr>
            <w:tcW w:w="1843"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850"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Não</w:t>
            </w:r>
          </w:p>
        </w:tc>
        <w:tc>
          <w:tcPr>
            <w:tcW w:w="1274"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77,5%</w:t>
            </w:r>
          </w:p>
        </w:tc>
        <w:tc>
          <w:tcPr>
            <w:tcW w:w="1418"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81,2%</w:t>
            </w:r>
          </w:p>
        </w:tc>
        <w:tc>
          <w:tcPr>
            <w:tcW w:w="1278"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80,1%</w:t>
            </w:r>
          </w:p>
        </w:tc>
      </w:tr>
      <w:tr>
        <w:trPr>
          <w:cnfStyle w:val="000000100000" w:firstRow="0" w:lastRow="0" w:firstColumn="0" w:lastColumn="0" w:oddVBand="0" w:evenVBand="0" w:oddHBand="1" w:evenHBand="0" w:firstRowFirstColumn="0" w:firstRowLastColumn="0" w:lastRowFirstColumn="0" w:lastRowLastColumn="0"/>
        </w:trPr>
        <w:tc>
          <w:tcPr>
            <w:tcW w:w="2693" w:type="dxa"/>
            <w:gridSpan w:val="2"/>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Total</w:t>
            </w:r>
          </w:p>
        </w:tc>
        <w:tc>
          <w:tcPr>
            <w:tcW w:w="1275"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1417"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1278" w:type="dxa"/>
            <w:gridSpan w:val="2"/>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r>
      <w:tr>
        <w:trPr>
          <w:cnfStyle w:val="000000010000" w:firstRow="0" w:lastRow="0" w:firstColumn="0" w:lastColumn="0" w:oddVBand="0" w:evenVBand="0" w:oddHBand="0" w:evenHBand="1" w:firstRowFirstColumn="0" w:firstRowLastColumn="0" w:lastRowFirstColumn="0" w:lastRowLastColumn="0"/>
        </w:trPr>
        <w:tc>
          <w:tcPr>
            <w:tcW w:w="1843"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b/>
                <w:color w:val="000000" w:themeColor="text1"/>
                <w:sz w:val="18"/>
                <w:szCs w:val="18"/>
                <w:lang w:eastAsia="pt-BR"/>
              </w:rPr>
              <w:t>Lesões por esforços repetitivos</w:t>
            </w:r>
          </w:p>
        </w:tc>
        <w:tc>
          <w:tcPr>
            <w:tcW w:w="850"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Sim</w:t>
            </w:r>
          </w:p>
        </w:tc>
        <w:tc>
          <w:tcPr>
            <w:tcW w:w="1274"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32,0%</w:t>
            </w:r>
          </w:p>
        </w:tc>
        <w:tc>
          <w:tcPr>
            <w:tcW w:w="1418"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22,5%</w:t>
            </w:r>
          </w:p>
        </w:tc>
        <w:tc>
          <w:tcPr>
            <w:tcW w:w="1278"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25,3%</w:t>
            </w:r>
          </w:p>
        </w:tc>
      </w:tr>
      <w:tr>
        <w:trPr>
          <w:cnfStyle w:val="000000100000" w:firstRow="0" w:lastRow="0" w:firstColumn="0" w:lastColumn="0" w:oddVBand="0" w:evenVBand="0" w:oddHBand="1" w:evenHBand="0" w:firstRowFirstColumn="0" w:firstRowLastColumn="0" w:lastRowFirstColumn="0" w:lastRowLastColumn="0"/>
        </w:trPr>
        <w:tc>
          <w:tcPr>
            <w:tcW w:w="1843"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850"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Não</w:t>
            </w:r>
          </w:p>
        </w:tc>
        <w:tc>
          <w:tcPr>
            <w:tcW w:w="1274"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68,0%</w:t>
            </w:r>
          </w:p>
        </w:tc>
        <w:tc>
          <w:tcPr>
            <w:tcW w:w="1418"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77,5%</w:t>
            </w:r>
          </w:p>
        </w:tc>
        <w:tc>
          <w:tcPr>
            <w:tcW w:w="1278"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74,7%</w:t>
            </w:r>
          </w:p>
        </w:tc>
      </w:tr>
      <w:tr>
        <w:trPr>
          <w:cnfStyle w:val="000000010000" w:firstRow="0" w:lastRow="0" w:firstColumn="0" w:lastColumn="0" w:oddVBand="0" w:evenVBand="0" w:oddHBand="0" w:evenHBand="1" w:firstRowFirstColumn="0" w:firstRowLastColumn="0" w:lastRowFirstColumn="0" w:lastRowLastColumn="0"/>
        </w:trPr>
        <w:tc>
          <w:tcPr>
            <w:tcW w:w="2693" w:type="dxa"/>
            <w:gridSpan w:val="2"/>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Total</w:t>
            </w:r>
          </w:p>
        </w:tc>
        <w:tc>
          <w:tcPr>
            <w:tcW w:w="1275"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1417"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1278" w:type="dxa"/>
            <w:gridSpan w:val="2"/>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r>
      <w:tr>
        <w:trPr>
          <w:cnfStyle w:val="000000100000" w:firstRow="0" w:lastRow="0" w:firstColumn="0" w:lastColumn="0" w:oddVBand="0" w:evenVBand="0" w:oddHBand="1" w:evenHBand="0" w:firstRowFirstColumn="0" w:firstRowLastColumn="0" w:lastRowFirstColumn="0" w:lastRowLastColumn="0"/>
        </w:trPr>
        <w:tc>
          <w:tcPr>
            <w:tcW w:w="1843"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b/>
                <w:color w:val="000000" w:themeColor="text1"/>
                <w:sz w:val="18"/>
                <w:szCs w:val="18"/>
                <w:lang w:eastAsia="pt-BR"/>
              </w:rPr>
              <w:t>Problemas de coluna</w:t>
            </w:r>
          </w:p>
        </w:tc>
        <w:tc>
          <w:tcPr>
            <w:tcW w:w="850"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Sim</w:t>
            </w:r>
          </w:p>
        </w:tc>
        <w:tc>
          <w:tcPr>
            <w:tcW w:w="1274"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1,7%</w:t>
            </w:r>
          </w:p>
        </w:tc>
        <w:tc>
          <w:tcPr>
            <w:tcW w:w="1418"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1,4%</w:t>
            </w:r>
          </w:p>
        </w:tc>
        <w:tc>
          <w:tcPr>
            <w:tcW w:w="1278"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1,5%</w:t>
            </w:r>
          </w:p>
        </w:tc>
      </w:tr>
      <w:tr>
        <w:trPr>
          <w:cnfStyle w:val="000000010000" w:firstRow="0" w:lastRow="0" w:firstColumn="0" w:lastColumn="0" w:oddVBand="0" w:evenVBand="0" w:oddHBand="0" w:evenHBand="1" w:firstRowFirstColumn="0" w:firstRowLastColumn="0" w:lastRowFirstColumn="0" w:lastRowLastColumn="0"/>
        </w:trPr>
        <w:tc>
          <w:tcPr>
            <w:tcW w:w="1843"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850"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Não</w:t>
            </w:r>
          </w:p>
        </w:tc>
        <w:tc>
          <w:tcPr>
            <w:tcW w:w="1274"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98,3%</w:t>
            </w:r>
          </w:p>
        </w:tc>
        <w:tc>
          <w:tcPr>
            <w:tcW w:w="1418"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98,6%</w:t>
            </w:r>
          </w:p>
        </w:tc>
        <w:tc>
          <w:tcPr>
            <w:tcW w:w="1278"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98,5%</w:t>
            </w:r>
          </w:p>
        </w:tc>
      </w:tr>
      <w:tr>
        <w:trPr>
          <w:cnfStyle w:val="000000100000" w:firstRow="0" w:lastRow="0" w:firstColumn="0" w:lastColumn="0" w:oddVBand="0" w:evenVBand="0" w:oddHBand="1" w:evenHBand="0" w:firstRowFirstColumn="0" w:firstRowLastColumn="0" w:lastRowFirstColumn="0" w:lastRowLastColumn="0"/>
        </w:trPr>
        <w:tc>
          <w:tcPr>
            <w:tcW w:w="2693" w:type="dxa"/>
            <w:gridSpan w:val="2"/>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Total</w:t>
            </w:r>
          </w:p>
        </w:tc>
        <w:tc>
          <w:tcPr>
            <w:tcW w:w="1275"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1417"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1278" w:type="dxa"/>
            <w:gridSpan w:val="2"/>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r>
      <w:tr>
        <w:trPr>
          <w:cnfStyle w:val="000000010000" w:firstRow="0" w:lastRow="0" w:firstColumn="0" w:lastColumn="0" w:oddVBand="0" w:evenVBand="0" w:oddHBand="0" w:evenHBand="1" w:firstRowFirstColumn="0" w:firstRowLastColumn="0" w:lastRowFirstColumn="0" w:lastRowLastColumn="0"/>
        </w:trPr>
        <w:tc>
          <w:tcPr>
            <w:tcW w:w="1843"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b/>
                <w:color w:val="000000" w:themeColor="text1"/>
                <w:sz w:val="18"/>
                <w:szCs w:val="18"/>
                <w:lang w:eastAsia="pt-BR"/>
              </w:rPr>
              <w:t>Dores de cabeça</w:t>
            </w:r>
          </w:p>
        </w:tc>
        <w:tc>
          <w:tcPr>
            <w:tcW w:w="850"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Sim</w:t>
            </w:r>
          </w:p>
        </w:tc>
        <w:tc>
          <w:tcPr>
            <w:tcW w:w="1274"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9,0%</w:t>
            </w:r>
          </w:p>
        </w:tc>
        <w:tc>
          <w:tcPr>
            <w:tcW w:w="1418"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6,6%</w:t>
            </w:r>
          </w:p>
        </w:tc>
        <w:tc>
          <w:tcPr>
            <w:tcW w:w="1278"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7,3%</w:t>
            </w:r>
          </w:p>
        </w:tc>
      </w:tr>
      <w:tr>
        <w:trPr>
          <w:cnfStyle w:val="000000100000" w:firstRow="0" w:lastRow="0" w:firstColumn="0" w:lastColumn="0" w:oddVBand="0" w:evenVBand="0" w:oddHBand="1" w:evenHBand="0" w:firstRowFirstColumn="0" w:firstRowLastColumn="0" w:lastRowFirstColumn="0" w:lastRowLastColumn="0"/>
        </w:trPr>
        <w:tc>
          <w:tcPr>
            <w:tcW w:w="1843"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850"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Não</w:t>
            </w:r>
          </w:p>
        </w:tc>
        <w:tc>
          <w:tcPr>
            <w:tcW w:w="1274"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91,0%</w:t>
            </w:r>
          </w:p>
        </w:tc>
        <w:tc>
          <w:tcPr>
            <w:tcW w:w="1418"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93,4%</w:t>
            </w:r>
          </w:p>
        </w:tc>
        <w:tc>
          <w:tcPr>
            <w:tcW w:w="1278"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92,7%</w:t>
            </w:r>
          </w:p>
        </w:tc>
      </w:tr>
      <w:tr>
        <w:trPr>
          <w:cnfStyle w:val="000000010000" w:firstRow="0" w:lastRow="0" w:firstColumn="0" w:lastColumn="0" w:oddVBand="0" w:evenVBand="0" w:oddHBand="0" w:evenHBand="1" w:firstRowFirstColumn="0" w:firstRowLastColumn="0" w:lastRowFirstColumn="0" w:lastRowLastColumn="0"/>
        </w:trPr>
        <w:tc>
          <w:tcPr>
            <w:tcW w:w="2693" w:type="dxa"/>
            <w:gridSpan w:val="2"/>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Total</w:t>
            </w:r>
          </w:p>
        </w:tc>
        <w:tc>
          <w:tcPr>
            <w:tcW w:w="1275"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1417"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1278" w:type="dxa"/>
            <w:gridSpan w:val="2"/>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r>
      <w:tr>
        <w:trPr>
          <w:cnfStyle w:val="000000100000" w:firstRow="0" w:lastRow="0" w:firstColumn="0" w:lastColumn="0" w:oddVBand="0" w:evenVBand="0" w:oddHBand="1" w:evenHBand="0" w:firstRowFirstColumn="0" w:firstRowLastColumn="0" w:lastRowFirstColumn="0" w:lastRowLastColumn="0"/>
        </w:trPr>
        <w:tc>
          <w:tcPr>
            <w:tcW w:w="1843"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b/>
                <w:color w:val="000000" w:themeColor="text1"/>
                <w:sz w:val="18"/>
                <w:szCs w:val="18"/>
                <w:lang w:eastAsia="pt-BR"/>
              </w:rPr>
              <w:t>Acidentes de trabalho</w:t>
            </w:r>
          </w:p>
        </w:tc>
        <w:tc>
          <w:tcPr>
            <w:tcW w:w="850"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Sim</w:t>
            </w:r>
          </w:p>
        </w:tc>
        <w:tc>
          <w:tcPr>
            <w:tcW w:w="1274"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1,1%</w:t>
            </w:r>
          </w:p>
        </w:tc>
        <w:tc>
          <w:tcPr>
            <w:tcW w:w="1418"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1,9%</w:t>
            </w:r>
          </w:p>
        </w:tc>
        <w:tc>
          <w:tcPr>
            <w:tcW w:w="1278"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1,7%</w:t>
            </w:r>
          </w:p>
        </w:tc>
      </w:tr>
      <w:tr>
        <w:trPr>
          <w:cnfStyle w:val="000000010000" w:firstRow="0" w:lastRow="0" w:firstColumn="0" w:lastColumn="0" w:oddVBand="0" w:evenVBand="0" w:oddHBand="0" w:evenHBand="1" w:firstRowFirstColumn="0" w:firstRowLastColumn="0" w:lastRowFirstColumn="0" w:lastRowLastColumn="0"/>
        </w:trPr>
        <w:tc>
          <w:tcPr>
            <w:tcW w:w="1843"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850"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Não</w:t>
            </w:r>
          </w:p>
        </w:tc>
        <w:tc>
          <w:tcPr>
            <w:tcW w:w="1274"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98,9%</w:t>
            </w:r>
          </w:p>
        </w:tc>
        <w:tc>
          <w:tcPr>
            <w:tcW w:w="1418"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98,1%</w:t>
            </w:r>
          </w:p>
        </w:tc>
        <w:tc>
          <w:tcPr>
            <w:tcW w:w="1278"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98,3%</w:t>
            </w:r>
          </w:p>
        </w:tc>
      </w:tr>
      <w:tr>
        <w:trPr>
          <w:cnfStyle w:val="000000100000" w:firstRow="0" w:lastRow="0" w:firstColumn="0" w:lastColumn="0" w:oddVBand="0" w:evenVBand="0" w:oddHBand="1" w:evenHBand="0" w:firstRowFirstColumn="0" w:firstRowLastColumn="0" w:lastRowFirstColumn="0" w:lastRowLastColumn="0"/>
        </w:trPr>
        <w:tc>
          <w:tcPr>
            <w:tcW w:w="2693" w:type="dxa"/>
            <w:gridSpan w:val="2"/>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Total</w:t>
            </w:r>
          </w:p>
        </w:tc>
        <w:tc>
          <w:tcPr>
            <w:tcW w:w="1275"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1417"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1278" w:type="dxa"/>
            <w:gridSpan w:val="2"/>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r>
    </w:tbl>
    <w:p>
      <w:pPr>
        <w:pStyle w:val="Normal"/>
        <w:spacing w:lineRule="auto" w:line="240" w:before="0" w:after="0"/>
        <w:ind w:left="708" w:firstLine="708"/>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Aos que admitiram ter algum problema de saúde, foi perguntado se o associava ao trabalho. O resultado foi um percentual significativo entre os que responderam positivamente (32,3% de todos os entrevistados, mais de duas vezes o percentual dos que não conceberam tal relação, que atingiram 15,1%).</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14 – Se Associa, ou Não, o Problema de Saúde ao Trabalho</w:t>
      </w:r>
    </w:p>
    <w:p>
      <w:pPr>
        <w:pStyle w:val="Normal"/>
        <w:spacing w:lineRule="auto" w:line="360" w:before="0" w:after="0"/>
        <w:ind w:firstLine="567"/>
        <w:jc w:val="center"/>
        <w:rPr>
          <w:rFonts w:ascii="Times New Roman" w:hAnsi="Times New Roman" w:cs="Times New Roman"/>
          <w:sz w:val="24"/>
          <w:szCs w:val="24"/>
        </w:rPr>
      </w:pPr>
      <w:r>
        <w:rPr/>
        <w:drawing>
          <wp:inline distT="0" distB="0" distL="0" distR="0">
            <wp:extent cx="3437890" cy="1801495"/>
            <wp:effectExtent l="0" t="0" r="0" b="0"/>
            <wp:docPr id="2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Normal"/>
        <w:spacing w:lineRule="auto" w:line="240" w:before="0" w:after="0"/>
        <w:jc w:val="center"/>
        <w:rPr>
          <w:rFonts w:ascii="Arial" w:hAnsi="Arial" w:cs="Arial"/>
          <w:i/>
          <w:i/>
          <w:sz w:val="20"/>
          <w:szCs w:val="20"/>
        </w:rPr>
      </w:pPr>
      <w:r>
        <w:rPr>
          <w:rFonts w:cs="Arial" w:ascii="Arial" w:hAnsi="Arial"/>
          <w:i/>
          <w:sz w:val="20"/>
          <w:szCs w:val="20"/>
        </w:rPr>
      </w:r>
    </w:p>
    <w:p>
      <w:pPr>
        <w:pStyle w:val="Normal"/>
        <w:spacing w:lineRule="auto" w:line="240" w:before="0" w:after="0"/>
        <w:jc w:val="center"/>
        <w:rPr>
          <w:rFonts w:ascii="Arial" w:hAnsi="Arial" w:cs="Arial"/>
          <w:i/>
          <w:i/>
          <w:sz w:val="20"/>
          <w:szCs w:val="20"/>
        </w:rPr>
      </w:pPr>
      <w:r>
        <w:rPr>
          <w:rFonts w:cs="Arial" w:ascii="Arial" w:hAnsi="Arial"/>
          <w:i/>
          <w:sz w:val="20"/>
          <w:szCs w:val="20"/>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Perguntamos, na sequência, sobre a </w:t>
      </w:r>
      <w:r>
        <w:rPr>
          <w:rFonts w:cs="Times New Roman" w:ascii="Times New Roman" w:hAnsi="Times New Roman"/>
          <w:i/>
          <w:sz w:val="24"/>
          <w:szCs w:val="24"/>
        </w:rPr>
        <w:t>faixa de renda bruta mensal individual</w:t>
      </w:r>
      <w:r>
        <w:rPr>
          <w:rFonts w:cs="Times New Roman" w:ascii="Times New Roman" w:hAnsi="Times New Roman"/>
          <w:sz w:val="24"/>
          <w:szCs w:val="24"/>
        </w:rPr>
        <w:t xml:space="preserve"> do entrevistado. No Gráfico 15 temos os resultados. Note-se que a maior parcela (42,5%) é a dos que recebiam de R$ 2.089,98 a </w:t>
      </w:r>
      <w:r>
        <w:rPr>
          <w:rFonts w:cs="Times New Roman" w:ascii="Times New Roman" w:hAnsi="Times New Roman"/>
          <w:color w:val="000000" w:themeColor="text1"/>
          <w:sz w:val="24"/>
          <w:szCs w:val="24"/>
        </w:rPr>
        <w:t>R$ 5.000,99</w:t>
      </w:r>
      <w:r>
        <w:rPr>
          <w:rFonts w:cs="Times New Roman" w:ascii="Times New Roman" w:hAnsi="Times New Roman"/>
          <w:sz w:val="24"/>
          <w:szCs w:val="24"/>
        </w:rPr>
        <w:t>. Se a esses somarmos os que ganhavam acima de R$ 5.000,99 (23,8%) chegamos a 66,3% dos respondentes que ganhavam acima de R$ 2.089,97, o que evidencia a condição diferenciada desse segmento de trabalhadores quanto ao nível de renda, algo já apreendido pelos dados da RAIS, na primeira parte deste relatório.</w:t>
      </w:r>
    </w:p>
    <w:p>
      <w:pPr>
        <w:pStyle w:val="Normal"/>
        <w:spacing w:lineRule="auto" w:line="240" w:before="0" w:after="0"/>
        <w:jc w:val="center"/>
        <w:rPr>
          <w:rFonts w:ascii="Arial" w:hAnsi="Arial" w:cs="Arial"/>
          <w:i/>
          <w:i/>
          <w:sz w:val="20"/>
          <w:szCs w:val="20"/>
        </w:rPr>
      </w:pPr>
      <w:r>
        <w:rPr>
          <w:rFonts w:cs="Arial" w:ascii="Arial" w:hAnsi="Arial"/>
          <w:i/>
          <w:sz w:val="20"/>
          <w:szCs w:val="20"/>
        </w:rPr>
        <w:t>Gráfico 15 – Faixa de renda bruta mensal individual</w:t>
      </w:r>
    </w:p>
    <w:p>
      <w:pPr>
        <w:pStyle w:val="Normal"/>
        <w:spacing w:lineRule="auto" w:line="360" w:before="0" w:after="0"/>
        <w:ind w:firstLine="567"/>
        <w:jc w:val="center"/>
        <w:rPr>
          <w:rFonts w:ascii="Times New Roman" w:hAnsi="Times New Roman" w:cs="Times New Roman"/>
          <w:sz w:val="24"/>
          <w:szCs w:val="24"/>
        </w:rPr>
      </w:pPr>
      <w:r>
        <w:rPr/>
        <w:drawing>
          <wp:inline distT="0" distB="0" distL="0" distR="0">
            <wp:extent cx="4076700" cy="2370455"/>
            <wp:effectExtent l="0" t="0" r="0" b="0"/>
            <wp:docPr id="2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Normal"/>
        <w:spacing w:lineRule="auto" w:line="240" w:before="0" w:after="0"/>
        <w:ind w:left="708"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240" w:before="0" w:after="0"/>
        <w:jc w:val="center"/>
        <w:rPr>
          <w:rFonts w:ascii="Arial" w:hAnsi="Arial" w:cs="Arial"/>
          <w:i/>
          <w:i/>
          <w:sz w:val="20"/>
          <w:szCs w:val="20"/>
        </w:rPr>
      </w:pPr>
      <w:r>
        <w:rPr>
          <w:rFonts w:cs="Arial" w:ascii="Arial" w:hAnsi="Arial"/>
          <w:i/>
          <w:sz w:val="20"/>
          <w:szCs w:val="20"/>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Na comparação entre os respondentes das empresas públicas e privadas, constata-se que, enquanto nestas últimas 82,3% dos mesmos recebiam na ocasião da entrevista até R$ 5.000,99, nas primeiras 70,6% ganhavam acima desse patamar: um contraste salarial flagrante. Contudo, há que se notar que, mesmo no caso das empresas privadas, os salários praticados se encontravam, em sua quase totalidade, bem acima do menor piso da categoria (pelo menos 93,9% - não contabilizando os “não respondentes”). Ver Tabela abaixo.</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Tabela 5 – Faixa de renda bruta mensal individual e Natureza Jurídica das Empresas</w:t>
      </w:r>
    </w:p>
    <w:tbl>
      <w:tblPr>
        <w:tblStyle w:val="Tabelacomgrade"/>
        <w:tblW w:w="9073" w:type="dxa"/>
        <w:jc w:val="center"/>
        <w:tblInd w:w="0" w:type="dxa"/>
        <w:tblCellMar>
          <w:top w:w="0" w:type="dxa"/>
          <w:left w:w="108" w:type="dxa"/>
          <w:bottom w:w="0" w:type="dxa"/>
          <w:right w:w="108" w:type="dxa"/>
        </w:tblCellMar>
        <w:tblLook w:firstRow="0" w:noVBand="0" w:lastRow="0" w:firstColumn="0" w:lastColumn="0" w:noHBand="0" w:val="0000"/>
      </w:tblPr>
      <w:tblGrid>
        <w:gridCol w:w="988"/>
        <w:gridCol w:w="4682"/>
        <w:gridCol w:w="1133"/>
        <w:gridCol w:w="1276"/>
        <w:gridCol w:w="1"/>
        <w:gridCol w:w="993"/>
      </w:tblGrid>
      <w:tr>
        <w:trPr>
          <w:trHeight w:val="20" w:hRule="atLeast"/>
          <w:cnfStyle w:val="000000100000" w:firstRow="0" w:lastRow="0" w:firstColumn="0" w:lastColumn="0" w:oddVBand="0" w:evenVBand="0" w:oddHBand="1" w:evenHBand="0" w:firstRowFirstColumn="0" w:firstRowLastColumn="0" w:lastRowFirstColumn="0" w:lastRowLastColumn="0"/>
        </w:trPr>
        <w:tc>
          <w:tcPr>
            <w:tcW w:w="5670" w:type="dxa"/>
            <w:gridSpan w:val="2"/>
            <w:vMerge w:val="restart"/>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rPr>
                <w:rFonts w:ascii="Times New Roman" w:hAnsi="Times New Roman" w:eastAsia="" w:cs="Times New Roman" w:eastAsiaTheme="minorEastAsia"/>
                <w:color w:val="auto"/>
                <w:sz w:val="18"/>
                <w:szCs w:val="18"/>
                <w:lang w:eastAsia="pt-BR"/>
              </w:rPr>
            </w:pPr>
            <w:r>
              <w:rPr>
                <w:rFonts w:eastAsia="" w:cs="Times New Roman" w:eastAsiaTheme="minorEastAsia" w:ascii="Times New Roman" w:hAnsi="Times New Roman"/>
                <w:color w:val="auto"/>
                <w:sz w:val="18"/>
                <w:szCs w:val="18"/>
                <w:lang w:eastAsia="pt-BR"/>
              </w:rPr>
            </w:r>
          </w:p>
        </w:tc>
        <w:tc>
          <w:tcPr>
            <w:tcW w:w="2410" w:type="dxa"/>
            <w:gridSpan w:val="3"/>
            <w:tcBorders/>
            <w:shd w:color="C0C0C0" w:fill="FFFFFF" w:val="solid"/>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Natureza Jurídica</w:t>
            </w:r>
          </w:p>
        </w:tc>
        <w:tc>
          <w:tcPr>
            <w:tcW w:w="993" w:type="dxa"/>
            <w:vMerge w:val="restart"/>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Total</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5670" w:type="dxa"/>
            <w:gridSpan w:val="2"/>
            <w:vMerge w:val="continue"/>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8"/>
                <w:szCs w:val="18"/>
                <w:lang w:eastAsia="pt-BR"/>
              </w:rPr>
            </w:pPr>
            <w:r>
              <w:rPr>
                <w:rFonts w:eastAsia="" w:cs="Times New Roman" w:ascii="Times New Roman" w:hAnsi="Times New Roman"/>
                <w:color w:val="000000"/>
                <w:sz w:val="18"/>
                <w:szCs w:val="18"/>
                <w:lang w:eastAsia="pt-BR"/>
              </w:rPr>
            </w:r>
          </w:p>
        </w:tc>
        <w:tc>
          <w:tcPr>
            <w:tcW w:w="1133" w:type="dxa"/>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Privada</w:t>
            </w:r>
          </w:p>
        </w:tc>
        <w:tc>
          <w:tcPr>
            <w:tcW w:w="1276"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Pública</w:t>
            </w:r>
          </w:p>
        </w:tc>
        <w:tc>
          <w:tcPr>
            <w:tcW w:w="994" w:type="dxa"/>
            <w:gridSpan w:val="2"/>
            <w:vMerge w:val="continue"/>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color w:val="000000"/>
                <w:sz w:val="18"/>
                <w:szCs w:val="18"/>
                <w:lang w:eastAsia="pt-BR"/>
              </w:rPr>
            </w:pPr>
            <w:r>
              <w:rPr>
                <w:rFonts w:eastAsia="" w:cs="Times New Roman" w:ascii="Times New Roman" w:hAnsi="Times New Roman"/>
                <w:color w:val="000000"/>
                <w:sz w:val="18"/>
                <w:szCs w:val="18"/>
                <w:lang w:eastAsia="pt-BR"/>
              </w:rPr>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988" w:type="dxa"/>
            <w:vMerge w:val="restart"/>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sz w:val="18"/>
                <w:szCs w:val="18"/>
              </w:rPr>
            </w:pPr>
            <w:r>
              <w:rPr>
                <w:rFonts w:eastAsia="" w:cs="Times New Roman" w:eastAsiaTheme="minorEastAsia" w:ascii="Times New Roman" w:hAnsi="Times New Roman"/>
                <w:color w:val="auto"/>
                <w:sz w:val="18"/>
                <w:szCs w:val="18"/>
                <w:lang w:eastAsia="pt-BR"/>
              </w:rPr>
              <w:t>Renda bruta mensal</w:t>
            </w:r>
          </w:p>
        </w:tc>
        <w:tc>
          <w:tcPr>
            <w:tcW w:w="4682"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Até R$ 988,19 (menor piso negociado para 2017)</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4,6%</w:t>
            </w:r>
          </w:p>
        </w:tc>
        <w:tc>
          <w:tcPr>
            <w:tcW w:w="1276" w:type="dxa"/>
            <w:tcBorders/>
            <w:shd w:color="C0C0C0" w:fill="FFFFFF" w:val="solid"/>
            <w:vAlign w:val="center"/>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0,0</w:t>
            </w:r>
          </w:p>
        </w:tc>
        <w:tc>
          <w:tcPr>
            <w:tcW w:w="994"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4,0%</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988" w:type="dxa"/>
            <w:vMerge w:val="continue"/>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8"/>
                <w:szCs w:val="18"/>
                <w:lang w:eastAsia="pt-BR"/>
              </w:rPr>
            </w:pPr>
            <w:r>
              <w:rPr>
                <w:rFonts w:eastAsia="" w:cs="Times New Roman" w:ascii="Times New Roman" w:hAnsi="Times New Roman"/>
                <w:color w:val="000000"/>
                <w:sz w:val="18"/>
                <w:szCs w:val="18"/>
                <w:lang w:eastAsia="pt-BR"/>
              </w:rPr>
            </w:r>
          </w:p>
        </w:tc>
        <w:tc>
          <w:tcPr>
            <w:tcW w:w="4682"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De R$ 988,20 a 2.089,97 (maior piso negociado para 2017)</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32,4%</w:t>
            </w:r>
          </w:p>
        </w:tc>
        <w:tc>
          <w:tcPr>
            <w:tcW w:w="1276" w:type="dxa"/>
            <w:tcBorders/>
            <w:shd w:fill="auto" w:val="clear"/>
            <w:vAlign w:val="cente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2,4%</w:t>
            </w:r>
          </w:p>
        </w:tc>
        <w:tc>
          <w:tcPr>
            <w:tcW w:w="994"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28,1%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988" w:type="dxa"/>
            <w:vMerge w:val="continue"/>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8"/>
                <w:szCs w:val="18"/>
                <w:lang w:eastAsia="pt-BR"/>
              </w:rPr>
            </w:pPr>
            <w:r>
              <w:rPr>
                <w:rFonts w:eastAsia="" w:cs="Times New Roman" w:ascii="Times New Roman" w:hAnsi="Times New Roman"/>
                <w:color w:val="000000"/>
                <w:sz w:val="18"/>
                <w:szCs w:val="18"/>
                <w:lang w:eastAsia="pt-BR"/>
              </w:rPr>
            </w:r>
          </w:p>
        </w:tc>
        <w:tc>
          <w:tcPr>
            <w:tcW w:w="4682"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De R$ 2.089,98 a 5.000,99</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45,3%</w:t>
            </w:r>
          </w:p>
        </w:tc>
        <w:tc>
          <w:tcPr>
            <w:tcW w:w="1276" w:type="dxa"/>
            <w:tcBorders/>
            <w:shd w:color="C0C0C0" w:fill="FFFFFF" w:val="solid"/>
            <w:vAlign w:val="center"/>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25,9%</w:t>
            </w:r>
          </w:p>
        </w:tc>
        <w:tc>
          <w:tcPr>
            <w:tcW w:w="994"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42,5%</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988" w:type="dxa"/>
            <w:vMerge w:val="continue"/>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8"/>
                <w:szCs w:val="18"/>
                <w:lang w:eastAsia="pt-BR"/>
              </w:rPr>
            </w:pPr>
            <w:r>
              <w:rPr>
                <w:rFonts w:eastAsia="" w:cs="Times New Roman" w:ascii="Times New Roman" w:hAnsi="Times New Roman"/>
                <w:color w:val="000000"/>
                <w:sz w:val="18"/>
                <w:szCs w:val="18"/>
                <w:lang w:eastAsia="pt-BR"/>
              </w:rPr>
            </w:r>
          </w:p>
        </w:tc>
        <w:tc>
          <w:tcPr>
            <w:tcW w:w="4682"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De R$ 5.001,00 a R$ 8.000,99</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12,1%</w:t>
            </w:r>
          </w:p>
        </w:tc>
        <w:tc>
          <w:tcPr>
            <w:tcW w:w="1276" w:type="dxa"/>
            <w:tcBorders/>
            <w:shd w:fill="auto" w:val="clear"/>
            <w:vAlign w:val="cente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48,2%</w:t>
            </w:r>
          </w:p>
        </w:tc>
        <w:tc>
          <w:tcPr>
            <w:tcW w:w="994"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17,2%</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988" w:type="dxa"/>
            <w:vMerge w:val="continue"/>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8"/>
                <w:szCs w:val="18"/>
                <w:lang w:eastAsia="pt-BR"/>
              </w:rPr>
            </w:pPr>
            <w:r>
              <w:rPr>
                <w:rFonts w:eastAsia="" w:cs="Times New Roman" w:ascii="Times New Roman" w:hAnsi="Times New Roman"/>
                <w:color w:val="000000"/>
                <w:sz w:val="18"/>
                <w:szCs w:val="18"/>
                <w:lang w:eastAsia="pt-BR"/>
              </w:rPr>
            </w:r>
          </w:p>
        </w:tc>
        <w:tc>
          <w:tcPr>
            <w:tcW w:w="4682"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Acima de R$ 8.000,99</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4,0%</w:t>
            </w:r>
          </w:p>
        </w:tc>
        <w:tc>
          <w:tcPr>
            <w:tcW w:w="1276" w:type="dxa"/>
            <w:tcBorders/>
            <w:shd w:color="C0C0C0" w:fill="FFFFFF" w:val="solid"/>
            <w:vAlign w:val="center"/>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22,4%</w:t>
            </w:r>
          </w:p>
        </w:tc>
        <w:tc>
          <w:tcPr>
            <w:tcW w:w="994"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6,6%</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988" w:type="dxa"/>
            <w:vMerge w:val="continue"/>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8"/>
                <w:szCs w:val="18"/>
                <w:lang w:eastAsia="pt-BR"/>
              </w:rPr>
            </w:pPr>
            <w:r>
              <w:rPr>
                <w:rFonts w:eastAsia="" w:cs="Times New Roman" w:ascii="Times New Roman" w:hAnsi="Times New Roman"/>
                <w:color w:val="000000"/>
                <w:sz w:val="18"/>
                <w:szCs w:val="18"/>
                <w:lang w:eastAsia="pt-BR"/>
              </w:rPr>
            </w:r>
          </w:p>
        </w:tc>
        <w:tc>
          <w:tcPr>
            <w:tcW w:w="4682"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Não respondeu</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1,5%</w:t>
            </w:r>
          </w:p>
        </w:tc>
        <w:tc>
          <w:tcPr>
            <w:tcW w:w="1276" w:type="dxa"/>
            <w:tcBorders/>
            <w:shd w:fill="auto" w:val="clear"/>
            <w:vAlign w:val="cente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1,2%</w:t>
            </w:r>
          </w:p>
        </w:tc>
        <w:tc>
          <w:tcPr>
            <w:tcW w:w="994"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1,5%</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5670"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Total</w:t>
            </w:r>
          </w:p>
        </w:tc>
        <w:tc>
          <w:tcPr>
            <w:tcW w:w="1133" w:type="dxa"/>
            <w:tcBorders/>
            <w:shd w:color="C0C0C0" w:fill="FFFFFF" w:val="solid"/>
            <w:vAlign w:val="center"/>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100,0%</w:t>
            </w:r>
          </w:p>
        </w:tc>
        <w:tc>
          <w:tcPr>
            <w:tcW w:w="1276"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100,0%</w:t>
            </w:r>
          </w:p>
        </w:tc>
        <w:tc>
          <w:tcPr>
            <w:tcW w:w="994" w:type="dxa"/>
            <w:gridSpan w:val="2"/>
            <w:tcBorders/>
            <w:shd w:color="C0C0C0" w:fill="FFFFFF" w:val="solid"/>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eastAsia="" w:cs="Times New Roman" w:eastAsiaTheme="minorEastAsia" w:ascii="Times New Roman" w:hAnsi="Times New Roman"/>
                <w:color w:val="000000"/>
                <w:sz w:val="18"/>
                <w:szCs w:val="18"/>
                <w:lang w:eastAsia="pt-BR"/>
              </w:rPr>
              <w:t>100,10%</w:t>
            </w:r>
          </w:p>
        </w:tc>
      </w:tr>
    </w:tbl>
    <w:p>
      <w:pPr>
        <w:pStyle w:val="Normal"/>
        <w:spacing w:lineRule="auto" w:line="240" w:before="0" w:after="0"/>
        <w:ind w:left="708"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Já no que se refere ao </w:t>
      </w:r>
      <w:r>
        <w:rPr>
          <w:rFonts w:cs="Times New Roman" w:ascii="Times New Roman" w:hAnsi="Times New Roman"/>
          <w:i/>
          <w:sz w:val="24"/>
          <w:szCs w:val="24"/>
        </w:rPr>
        <w:t>porte das empresas</w:t>
      </w:r>
      <w:r>
        <w:rPr>
          <w:rFonts w:cs="Times New Roman" w:ascii="Times New Roman" w:hAnsi="Times New Roman"/>
          <w:sz w:val="24"/>
          <w:szCs w:val="24"/>
        </w:rPr>
        <w:t>, conforme mostra a Tabela 6, nota-se de modo geral que as menores empresas pagavam na ocasião os menores salários e as maiores, os salários mais elevados, sendo bem diferenciados no caso das muito grandes.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Tabela 6 – Faixa de renda bruta mensal individual e Porte das Empresas</w:t>
      </w:r>
    </w:p>
    <w:tbl>
      <w:tblPr>
        <w:tblStyle w:val="Tabelacomgrade"/>
        <w:tblW w:w="9356" w:type="dxa"/>
        <w:jc w:val="center"/>
        <w:tblInd w:w="0" w:type="dxa"/>
        <w:tblCellMar>
          <w:top w:w="0" w:type="dxa"/>
          <w:left w:w="108" w:type="dxa"/>
          <w:bottom w:w="0" w:type="dxa"/>
          <w:right w:w="108" w:type="dxa"/>
        </w:tblCellMar>
        <w:tblLook w:firstRow="0" w:noVBand="0" w:lastRow="0" w:firstColumn="0" w:lastColumn="0" w:noHBand="0" w:val="0000"/>
      </w:tblPr>
      <w:tblGrid>
        <w:gridCol w:w="894"/>
        <w:gridCol w:w="2790"/>
        <w:gridCol w:w="1"/>
        <w:gridCol w:w="848"/>
        <w:gridCol w:w="1"/>
        <w:gridCol w:w="992"/>
        <w:gridCol w:w="1"/>
        <w:gridCol w:w="991"/>
        <w:gridCol w:w="1"/>
        <w:gridCol w:w="991"/>
        <w:gridCol w:w="991"/>
        <w:gridCol w:w="1"/>
        <w:gridCol w:w="1"/>
        <w:gridCol w:w="852"/>
      </w:tblGrid>
      <w:tr>
        <w:trPr>
          <w:trHeight w:val="20" w:hRule="atLeast"/>
          <w:cnfStyle w:val="000000100000" w:firstRow="0" w:lastRow="0" w:firstColumn="0" w:lastColumn="0" w:oddVBand="0" w:evenVBand="0" w:oddHBand="1" w:evenHBand="0" w:firstRowFirstColumn="0" w:firstRowLastColumn="0" w:lastRowFirstColumn="0" w:lastRowLastColumn="0"/>
        </w:trPr>
        <w:tc>
          <w:tcPr>
            <w:tcW w:w="3685" w:type="dxa"/>
            <w:gridSpan w:val="3"/>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eastAsiaTheme="minorEastAsia"/>
                <w:color w:val="auto"/>
                <w:sz w:val="16"/>
                <w:szCs w:val="16"/>
                <w:lang w:eastAsia="pt-BR"/>
              </w:rPr>
            </w:pPr>
            <w:r>
              <w:rPr>
                <w:rFonts w:eastAsia="" w:cs="Times New Roman" w:eastAsiaTheme="minorEastAsia" w:ascii="Times New Roman" w:hAnsi="Times New Roman"/>
                <w:color w:val="auto"/>
                <w:sz w:val="16"/>
                <w:szCs w:val="16"/>
                <w:lang w:eastAsia="pt-BR"/>
              </w:rPr>
            </w:r>
          </w:p>
        </w:tc>
        <w:tc>
          <w:tcPr>
            <w:tcW w:w="4818" w:type="dxa"/>
            <w:gridSpan w:val="10"/>
            <w:tcBorders/>
            <w:shd w:color="C0C0C0" w:fill="FFFFFF" w:val="solid"/>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Porte das Empresas</w:t>
            </w:r>
          </w:p>
        </w:tc>
        <w:tc>
          <w:tcPr>
            <w:tcW w:w="852" w:type="dxa"/>
            <w:vMerge w:val="restart"/>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Total</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685" w:type="dxa"/>
            <w:gridSpan w:val="3"/>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c>
          <w:tcPr>
            <w:tcW w:w="849" w:type="dxa"/>
            <w:gridSpan w:val="2"/>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Até 10</w:t>
            </w:r>
          </w:p>
        </w:tc>
        <w:tc>
          <w:tcPr>
            <w:tcW w:w="993"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De 11 a 50</w:t>
            </w:r>
          </w:p>
        </w:tc>
        <w:tc>
          <w:tcPr>
            <w:tcW w:w="992" w:type="dxa"/>
            <w:gridSpan w:val="2"/>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De 51 a 100</w:t>
            </w:r>
          </w:p>
        </w:tc>
        <w:tc>
          <w:tcPr>
            <w:tcW w:w="991"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De 101 a 400</w:t>
            </w:r>
          </w:p>
        </w:tc>
        <w:tc>
          <w:tcPr>
            <w:tcW w:w="992" w:type="dxa"/>
            <w:gridSpan w:val="2"/>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Acima de 400</w:t>
            </w:r>
          </w:p>
        </w:tc>
        <w:tc>
          <w:tcPr>
            <w:tcW w:w="853" w:type="dxa"/>
            <w:gridSpan w:val="2"/>
            <w:vMerge w:val="continue"/>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894"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sz w:val="16"/>
                <w:szCs w:val="16"/>
              </w:rPr>
            </w:pPr>
            <w:r>
              <w:rPr>
                <w:rFonts w:eastAsia="" w:cs="Times New Roman" w:eastAsiaTheme="minorEastAsia" w:ascii="Times New Roman" w:hAnsi="Times New Roman"/>
                <w:color w:val="auto"/>
                <w:sz w:val="16"/>
                <w:szCs w:val="16"/>
                <w:lang w:eastAsia="pt-BR"/>
              </w:rPr>
              <w:t>Renda bruta mensal</w:t>
            </w:r>
          </w:p>
        </w:tc>
        <w:tc>
          <w:tcPr>
            <w:tcW w:w="2790"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Até R$ 988,19 (menor piso negociado para 2017)</w:t>
            </w:r>
          </w:p>
        </w:tc>
        <w:tc>
          <w:tcPr>
            <w:tcW w:w="849"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sz w:val="16"/>
                <w:szCs w:val="16"/>
              </w:rPr>
            </w:pPr>
            <w:r>
              <w:rPr>
                <w:rFonts w:eastAsia="" w:cs="Times New Roman" w:eastAsiaTheme="minorEastAsia" w:ascii="Times New Roman" w:hAnsi="Times New Roman"/>
                <w:color w:val="000000"/>
                <w:sz w:val="16"/>
                <w:szCs w:val="16"/>
                <w:lang w:eastAsia="pt-BR"/>
              </w:rPr>
              <w:t>0,0%</w:t>
            </w:r>
          </w:p>
        </w:tc>
        <w:tc>
          <w:tcPr>
            <w:tcW w:w="993"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5,8%</w:t>
            </w:r>
          </w:p>
        </w:tc>
        <w:tc>
          <w:tcPr>
            <w:tcW w:w="992"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7,1%</w:t>
            </w:r>
          </w:p>
        </w:tc>
        <w:tc>
          <w:tcPr>
            <w:tcW w:w="992"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4,9%</w:t>
            </w:r>
          </w:p>
        </w:tc>
        <w:tc>
          <w:tcPr>
            <w:tcW w:w="991"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1,7%</w:t>
            </w:r>
          </w:p>
        </w:tc>
        <w:tc>
          <w:tcPr>
            <w:tcW w:w="854" w:type="dxa"/>
            <w:gridSpan w:val="3"/>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4,0%</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894"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c>
          <w:tcPr>
            <w:tcW w:w="2790"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De R$ 988,20 a 2.089,97 (maior piso negociado para 2017)</w:t>
            </w:r>
          </w:p>
        </w:tc>
        <w:tc>
          <w:tcPr>
            <w:tcW w:w="849"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54,5%</w:t>
            </w:r>
          </w:p>
        </w:tc>
        <w:tc>
          <w:tcPr>
            <w:tcW w:w="993"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35,3%</w:t>
            </w:r>
          </w:p>
        </w:tc>
        <w:tc>
          <w:tcPr>
            <w:tcW w:w="992"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22,6%</w:t>
            </w:r>
          </w:p>
        </w:tc>
        <w:tc>
          <w:tcPr>
            <w:tcW w:w="992"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24,5%</w:t>
            </w:r>
          </w:p>
        </w:tc>
        <w:tc>
          <w:tcPr>
            <w:tcW w:w="991"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18,0%</w:t>
            </w:r>
          </w:p>
        </w:tc>
        <w:tc>
          <w:tcPr>
            <w:tcW w:w="854" w:type="dxa"/>
            <w:gridSpan w:val="3"/>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28,1%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894"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c>
          <w:tcPr>
            <w:tcW w:w="2790"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De R$ 2.089,98 a 5.000,99</w:t>
            </w:r>
          </w:p>
        </w:tc>
        <w:tc>
          <w:tcPr>
            <w:tcW w:w="849"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33,3%</w:t>
            </w:r>
          </w:p>
        </w:tc>
        <w:tc>
          <w:tcPr>
            <w:tcW w:w="993"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43,9%</w:t>
            </w:r>
          </w:p>
        </w:tc>
        <w:tc>
          <w:tcPr>
            <w:tcW w:w="992"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52,4%</w:t>
            </w:r>
          </w:p>
        </w:tc>
        <w:tc>
          <w:tcPr>
            <w:tcW w:w="992"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51,0%</w:t>
            </w:r>
          </w:p>
        </w:tc>
        <w:tc>
          <w:tcPr>
            <w:tcW w:w="991"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33,1%</w:t>
            </w:r>
          </w:p>
        </w:tc>
        <w:tc>
          <w:tcPr>
            <w:tcW w:w="854" w:type="dxa"/>
            <w:gridSpan w:val="3"/>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42,5%</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894"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c>
          <w:tcPr>
            <w:tcW w:w="2790"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De R$ 5.001,00 a R$ 8.000,99</w:t>
            </w:r>
          </w:p>
        </w:tc>
        <w:tc>
          <w:tcPr>
            <w:tcW w:w="849"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10,6%</w:t>
            </w:r>
          </w:p>
        </w:tc>
        <w:tc>
          <w:tcPr>
            <w:tcW w:w="993"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11,5%</w:t>
            </w:r>
          </w:p>
        </w:tc>
        <w:tc>
          <w:tcPr>
            <w:tcW w:w="992"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10,7%</w:t>
            </w:r>
          </w:p>
        </w:tc>
        <w:tc>
          <w:tcPr>
            <w:tcW w:w="992"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13,3%</w:t>
            </w:r>
          </w:p>
        </w:tc>
        <w:tc>
          <w:tcPr>
            <w:tcW w:w="991"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30,8%</w:t>
            </w:r>
          </w:p>
        </w:tc>
        <w:tc>
          <w:tcPr>
            <w:tcW w:w="854" w:type="dxa"/>
            <w:gridSpan w:val="3"/>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17,2%</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894"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c>
          <w:tcPr>
            <w:tcW w:w="2790"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Acima de R$ 8.000,99</w:t>
            </w:r>
          </w:p>
        </w:tc>
        <w:tc>
          <w:tcPr>
            <w:tcW w:w="849"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sz w:val="16"/>
                <w:szCs w:val="16"/>
              </w:rPr>
            </w:pPr>
            <w:r>
              <w:rPr>
                <w:rFonts w:eastAsia="" w:cs="Times New Roman" w:eastAsiaTheme="minorEastAsia" w:ascii="Times New Roman" w:hAnsi="Times New Roman"/>
                <w:color w:val="000000"/>
                <w:sz w:val="16"/>
                <w:szCs w:val="16"/>
                <w:lang w:eastAsia="pt-BR"/>
              </w:rPr>
              <w:t>0,0%</w:t>
            </w:r>
          </w:p>
        </w:tc>
        <w:tc>
          <w:tcPr>
            <w:tcW w:w="993"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2,9%</w:t>
            </w:r>
          </w:p>
        </w:tc>
        <w:tc>
          <w:tcPr>
            <w:tcW w:w="992"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4,8%</w:t>
            </w:r>
          </w:p>
        </w:tc>
        <w:tc>
          <w:tcPr>
            <w:tcW w:w="992"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4,2%</w:t>
            </w:r>
          </w:p>
        </w:tc>
        <w:tc>
          <w:tcPr>
            <w:tcW w:w="991"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15,1%</w:t>
            </w:r>
          </w:p>
        </w:tc>
        <w:tc>
          <w:tcPr>
            <w:tcW w:w="854" w:type="dxa"/>
            <w:gridSpan w:val="3"/>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6,6%</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894"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sz w:val="16"/>
                <w:szCs w:val="16"/>
                <w:lang w:eastAsia="pt-BR"/>
              </w:rPr>
            </w:pPr>
            <w:r>
              <w:rPr>
                <w:rFonts w:eastAsia="" w:cs="Times New Roman" w:ascii="Times New Roman" w:hAnsi="Times New Roman"/>
                <w:color w:val="000000"/>
                <w:sz w:val="16"/>
                <w:szCs w:val="16"/>
                <w:lang w:eastAsia="pt-BR"/>
              </w:rPr>
            </w:r>
          </w:p>
        </w:tc>
        <w:tc>
          <w:tcPr>
            <w:tcW w:w="2790"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Não respondeu</w:t>
            </w:r>
          </w:p>
        </w:tc>
        <w:tc>
          <w:tcPr>
            <w:tcW w:w="849"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1,5%</w:t>
            </w:r>
          </w:p>
        </w:tc>
        <w:tc>
          <w:tcPr>
            <w:tcW w:w="993"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0,7%</w:t>
            </w:r>
          </w:p>
        </w:tc>
        <w:tc>
          <w:tcPr>
            <w:tcW w:w="992"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2,4%</w:t>
            </w:r>
          </w:p>
        </w:tc>
        <w:tc>
          <w:tcPr>
            <w:tcW w:w="992"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2,1%</w:t>
            </w:r>
          </w:p>
        </w:tc>
        <w:tc>
          <w:tcPr>
            <w:tcW w:w="991"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1,2%</w:t>
            </w:r>
          </w:p>
        </w:tc>
        <w:tc>
          <w:tcPr>
            <w:tcW w:w="854" w:type="dxa"/>
            <w:gridSpan w:val="3"/>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1,5%</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685"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Total</w:t>
            </w:r>
          </w:p>
        </w:tc>
        <w:tc>
          <w:tcPr>
            <w:tcW w:w="849"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3"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2"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1"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992"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c>
          <w:tcPr>
            <w:tcW w:w="853"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sz w:val="16"/>
                <w:szCs w:val="16"/>
              </w:rPr>
            </w:pPr>
            <w:r>
              <w:rPr>
                <w:rFonts w:eastAsia="" w:cs="Times New Roman" w:eastAsiaTheme="minorEastAsia" w:ascii="Times New Roman" w:hAnsi="Times New Roman"/>
                <w:color w:val="000000"/>
                <w:sz w:val="16"/>
                <w:szCs w:val="16"/>
                <w:lang w:eastAsia="pt-BR"/>
              </w:rPr>
              <w:t>100,0%</w:t>
            </w:r>
          </w:p>
        </w:tc>
      </w:tr>
    </w:tbl>
    <w:p>
      <w:pPr>
        <w:pStyle w:val="Normal"/>
        <w:spacing w:lineRule="auto" w:line="240" w:before="0" w:after="0"/>
        <w:ind w:left="708"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Na distribuição desse quesito por sexo, evidencia-se que enquanto as mulheres registram percentuais mais elevados nas faixas de renda inferior, os homens sobressaem nas faixas de renda superior. Contudo, as diferenças registradas na pesquisa se mostraram bastante convergentes.</w:t>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Tabela 7 – Faixa de renda bruta mensal individual e Sexo</w:t>
      </w:r>
    </w:p>
    <w:tbl>
      <w:tblPr>
        <w:tblStyle w:val="Tabelacomgrade"/>
        <w:tblW w:w="9073" w:type="dxa"/>
        <w:jc w:val="center"/>
        <w:tblInd w:w="0" w:type="dxa"/>
        <w:tblCellMar>
          <w:top w:w="0" w:type="dxa"/>
          <w:left w:w="108" w:type="dxa"/>
          <w:bottom w:w="0" w:type="dxa"/>
          <w:right w:w="108" w:type="dxa"/>
        </w:tblCellMar>
        <w:tblLook w:firstRow="0" w:noVBand="0" w:lastRow="0" w:firstColumn="0" w:lastColumn="0" w:noHBand="0" w:val="0000"/>
      </w:tblPr>
      <w:tblGrid>
        <w:gridCol w:w="988"/>
        <w:gridCol w:w="4682"/>
        <w:gridCol w:w="1133"/>
        <w:gridCol w:w="1276"/>
        <w:gridCol w:w="1"/>
        <w:gridCol w:w="993"/>
      </w:tblGrid>
      <w:tr>
        <w:trPr>
          <w:trHeight w:val="20" w:hRule="atLeast"/>
          <w:cnfStyle w:val="000000100000" w:firstRow="0" w:lastRow="0" w:firstColumn="0" w:lastColumn="0" w:oddVBand="0" w:evenVBand="0" w:oddHBand="1" w:evenHBand="0" w:firstRowFirstColumn="0" w:firstRowLastColumn="0" w:lastRowFirstColumn="0" w:lastRowLastColumn="0"/>
        </w:trPr>
        <w:tc>
          <w:tcPr>
            <w:tcW w:w="5670" w:type="dxa"/>
            <w:gridSpan w:val="2"/>
            <w:vMerge w:val="restart"/>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2410" w:type="dxa"/>
            <w:gridSpan w:val="3"/>
            <w:tcBorders/>
            <w:shd w:color="C0C0C0" w:fill="FFFFFF" w:val="solid"/>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Sexo</w:t>
            </w:r>
          </w:p>
        </w:tc>
        <w:tc>
          <w:tcPr>
            <w:tcW w:w="993" w:type="dxa"/>
            <w:vMerge w:val="restart"/>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Total</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5670" w:type="dxa"/>
            <w:gridSpan w:val="2"/>
            <w:vMerge w:val="continue"/>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1133" w:type="dxa"/>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Feminino</w:t>
            </w:r>
          </w:p>
        </w:tc>
        <w:tc>
          <w:tcPr>
            <w:tcW w:w="1276"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Masculino</w:t>
            </w:r>
          </w:p>
        </w:tc>
        <w:tc>
          <w:tcPr>
            <w:tcW w:w="994" w:type="dxa"/>
            <w:gridSpan w:val="2"/>
            <w:vMerge w:val="continue"/>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988" w:type="dxa"/>
            <w:vMerge w:val="restart"/>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Renda bruta mensal</w:t>
            </w:r>
          </w:p>
        </w:tc>
        <w:tc>
          <w:tcPr>
            <w:tcW w:w="4682"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Até R$ 988,19 (menor piso negociado para 2017)</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4,5%</w:t>
            </w:r>
          </w:p>
        </w:tc>
        <w:tc>
          <w:tcPr>
            <w:tcW w:w="1276" w:type="dxa"/>
            <w:tcBorders/>
            <w:shd w:color="C0C0C0" w:fill="FFFFFF" w:val="solid"/>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3,8%</w:t>
            </w:r>
          </w:p>
        </w:tc>
        <w:tc>
          <w:tcPr>
            <w:tcW w:w="994"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4,0%</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988" w:type="dxa"/>
            <w:vMerge w:val="continue"/>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682"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De R$ 988,20 a 2.089,97 (maior piso negociado para 2017)</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30,3%</w:t>
            </w:r>
          </w:p>
        </w:tc>
        <w:tc>
          <w:tcPr>
            <w:tcW w:w="1276" w:type="dxa"/>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27,2%</w:t>
            </w:r>
          </w:p>
        </w:tc>
        <w:tc>
          <w:tcPr>
            <w:tcW w:w="994"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28,1%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988" w:type="dxa"/>
            <w:vMerge w:val="continue"/>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682"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De R$ 2.089,98 a 5.000,99</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41,6%</w:t>
            </w:r>
          </w:p>
        </w:tc>
        <w:tc>
          <w:tcPr>
            <w:tcW w:w="1276" w:type="dxa"/>
            <w:tcBorders/>
            <w:shd w:color="C0C0C0" w:fill="FFFFFF" w:val="solid"/>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43,0%</w:t>
            </w:r>
          </w:p>
        </w:tc>
        <w:tc>
          <w:tcPr>
            <w:tcW w:w="994"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42,5%</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988" w:type="dxa"/>
            <w:vMerge w:val="continue"/>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682"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De R$ 5.001,00 a R$ 8.000,99</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17,4%</w:t>
            </w:r>
          </w:p>
        </w:tc>
        <w:tc>
          <w:tcPr>
            <w:tcW w:w="1276" w:type="dxa"/>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17,1%</w:t>
            </w:r>
          </w:p>
        </w:tc>
        <w:tc>
          <w:tcPr>
            <w:tcW w:w="994"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17,2%</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988" w:type="dxa"/>
            <w:vMerge w:val="continue"/>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682"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Acima de R$ 8.000,99</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4,5%</w:t>
            </w:r>
          </w:p>
        </w:tc>
        <w:tc>
          <w:tcPr>
            <w:tcW w:w="1276" w:type="dxa"/>
            <w:tcBorders/>
            <w:shd w:color="C0C0C0" w:fill="FFFFFF" w:val="solid"/>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7,5%</w:t>
            </w:r>
          </w:p>
        </w:tc>
        <w:tc>
          <w:tcPr>
            <w:tcW w:w="994"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6,6%</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988" w:type="dxa"/>
            <w:vMerge w:val="continue"/>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682"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Não respondeu</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1,7%</w:t>
            </w:r>
          </w:p>
        </w:tc>
        <w:tc>
          <w:tcPr>
            <w:tcW w:w="1276" w:type="dxa"/>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1,4%</w:t>
            </w:r>
          </w:p>
        </w:tc>
        <w:tc>
          <w:tcPr>
            <w:tcW w:w="994"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1,5%</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5670"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Total</w:t>
            </w:r>
          </w:p>
        </w:tc>
        <w:tc>
          <w:tcPr>
            <w:tcW w:w="1133" w:type="dxa"/>
            <w:tcBorders/>
            <w:shd w:color="C0C0C0" w:fill="FFFFFF" w:val="solid"/>
            <w:vAlign w:val="center"/>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1276"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994" w:type="dxa"/>
            <w:gridSpan w:val="2"/>
            <w:tcBorders/>
            <w:shd w:color="C0C0C0" w:fill="FFFFFF" w:val="solid"/>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100,10%</w:t>
            </w:r>
          </w:p>
        </w:tc>
      </w:tr>
    </w:tbl>
    <w:p>
      <w:pPr>
        <w:pStyle w:val="Normal"/>
        <w:spacing w:lineRule="auto" w:line="240" w:before="0" w:after="0"/>
        <w:ind w:left="708" w:firstLine="708"/>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Fonte: Pesquisa SINDPD-PE 2017</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No que se refere à cor/raça, como era de se esperar, as faixas salariais mais elevadas se concentram nos brancos, seguidos pelos pardos, com os pretos em uma destacada posição inferior.</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Tabela 8 – Faixa de renda bruta mensal individual e Cor/Raça</w:t>
      </w:r>
    </w:p>
    <w:tbl>
      <w:tblPr>
        <w:tblStyle w:val="Tabelacomgrade"/>
        <w:tblW w:w="8789" w:type="dxa"/>
        <w:jc w:val="center"/>
        <w:tblInd w:w="0" w:type="dxa"/>
        <w:tblCellMar>
          <w:top w:w="0" w:type="dxa"/>
          <w:left w:w="57" w:type="dxa"/>
          <w:bottom w:w="0" w:type="dxa"/>
          <w:right w:w="57" w:type="dxa"/>
        </w:tblCellMar>
        <w:tblLook w:firstRow="0" w:noVBand="0" w:lastRow="0" w:firstColumn="0" w:lastColumn="0" w:noHBand="0" w:val="0000"/>
      </w:tblPr>
      <w:tblGrid>
        <w:gridCol w:w="708"/>
        <w:gridCol w:w="4535"/>
        <w:gridCol w:w="1"/>
        <w:gridCol w:w="850"/>
        <w:gridCol w:w="1"/>
        <w:gridCol w:w="848"/>
        <w:gridCol w:w="1"/>
        <w:gridCol w:w="850"/>
        <w:gridCol w:w="1"/>
        <w:gridCol w:w="993"/>
      </w:tblGrid>
      <w:tr>
        <w:trPr>
          <w:trHeight w:val="20" w:hRule="atLeast"/>
          <w:cnfStyle w:val="000000100000" w:firstRow="0" w:lastRow="0" w:firstColumn="0" w:lastColumn="0" w:oddVBand="0" w:evenVBand="0" w:oddHBand="1" w:evenHBand="0" w:firstRowFirstColumn="0" w:firstRowLastColumn="0" w:lastRowFirstColumn="0" w:lastRowLastColumn="0"/>
        </w:trPr>
        <w:tc>
          <w:tcPr>
            <w:tcW w:w="5244" w:type="dxa"/>
            <w:gridSpan w:val="3"/>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2551" w:type="dxa"/>
            <w:gridSpan w:val="6"/>
            <w:tcBorders/>
            <w:shd w:color="C0C0C0" w:fill="FFFFFF" w:val="solid"/>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Cor/Raça</w:t>
            </w:r>
          </w:p>
        </w:tc>
        <w:tc>
          <w:tcPr>
            <w:tcW w:w="993" w:type="dxa"/>
            <w:vMerge w:val="restart"/>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Cor/Raça</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5244" w:type="dxa"/>
            <w:gridSpan w:val="3"/>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851" w:type="dxa"/>
            <w:gridSpan w:val="2"/>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Parda</w:t>
            </w:r>
          </w:p>
        </w:tc>
        <w:tc>
          <w:tcPr>
            <w:tcW w:w="849"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Branca</w:t>
            </w:r>
          </w:p>
        </w:tc>
        <w:tc>
          <w:tcPr>
            <w:tcW w:w="850"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Preta</w:t>
            </w:r>
          </w:p>
        </w:tc>
        <w:tc>
          <w:tcPr>
            <w:tcW w:w="994" w:type="dxa"/>
            <w:gridSpan w:val="2"/>
            <w:vMerge w:val="continue"/>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708"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Renda bruta mensal</w:t>
            </w:r>
          </w:p>
        </w:tc>
        <w:tc>
          <w:tcPr>
            <w:tcW w:w="4535"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Até R$ 988,19 (menor piso negociado para 2017)</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5,1%</w:t>
            </w:r>
          </w:p>
        </w:tc>
        <w:tc>
          <w:tcPr>
            <w:tcW w:w="849"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2,3%</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3,3%</w:t>
            </w:r>
          </w:p>
        </w:tc>
        <w:tc>
          <w:tcPr>
            <w:tcW w:w="994" w:type="dxa"/>
            <w:gridSpan w:val="2"/>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4,0%</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708"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535"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De R$ 988,20 a 2.089,97 (maior piso negociado para 2017)</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25,5%</w:t>
            </w:r>
          </w:p>
        </w:tc>
        <w:tc>
          <w:tcPr>
            <w:tcW w:w="849"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25,0%</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53,3%</w:t>
            </w:r>
          </w:p>
        </w:tc>
        <w:tc>
          <w:tcPr>
            <w:tcW w:w="994" w:type="dxa"/>
            <w:gridSpan w:val="2"/>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28,1%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708"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535"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De R$ 2.089,98 a 5.000,99</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45,6%</w:t>
            </w:r>
          </w:p>
        </w:tc>
        <w:tc>
          <w:tcPr>
            <w:tcW w:w="849"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43,5%</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28,3%</w:t>
            </w:r>
          </w:p>
        </w:tc>
        <w:tc>
          <w:tcPr>
            <w:tcW w:w="994" w:type="dxa"/>
            <w:gridSpan w:val="2"/>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42,5%</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708"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535"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De R$ 5.001,00 a R$ 8.000,99</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15,3%</w:t>
            </w:r>
          </w:p>
        </w:tc>
        <w:tc>
          <w:tcPr>
            <w:tcW w:w="849"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20,4%</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11,7%</w:t>
            </w:r>
          </w:p>
        </w:tc>
        <w:tc>
          <w:tcPr>
            <w:tcW w:w="994" w:type="dxa"/>
            <w:gridSpan w:val="2"/>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17,2%</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708"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535"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Acima de R$ 8.000,99</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6,5%</w:t>
            </w:r>
          </w:p>
        </w:tc>
        <w:tc>
          <w:tcPr>
            <w:tcW w:w="849"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7,9%</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1,7%</w:t>
            </w:r>
          </w:p>
        </w:tc>
        <w:tc>
          <w:tcPr>
            <w:tcW w:w="994" w:type="dxa"/>
            <w:gridSpan w:val="2"/>
            <w:tcBorders>
              <w:right w:val="nil"/>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6,6%</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708"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535"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Não respondeu</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2,0%</w:t>
            </w:r>
          </w:p>
        </w:tc>
        <w:tc>
          <w:tcPr>
            <w:tcW w:w="849"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0,9%</w:t>
            </w:r>
          </w:p>
        </w:tc>
        <w:tc>
          <w:tcPr>
            <w:tcW w:w="851"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1,7%</w:t>
            </w:r>
          </w:p>
        </w:tc>
        <w:tc>
          <w:tcPr>
            <w:tcW w:w="994" w:type="dxa"/>
            <w:gridSpan w:val="2"/>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1,5%</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5244"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Total</w:t>
            </w:r>
          </w:p>
        </w:tc>
        <w:tc>
          <w:tcPr>
            <w:tcW w:w="851"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849"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850" w:type="dxa"/>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994"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r>
    </w:tbl>
    <w:p>
      <w:pPr>
        <w:pStyle w:val="Normal"/>
        <w:spacing w:lineRule="auto" w:line="240" w:before="0" w:after="0"/>
        <w:ind w:left="708" w:firstLine="708"/>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Fonte: Pesquisa SINDPD-PE 2017</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Ainda referindo-se ao tema </w:t>
      </w:r>
      <w:r>
        <w:rPr>
          <w:rFonts w:cs="Times New Roman" w:ascii="Times New Roman" w:hAnsi="Times New Roman"/>
          <w:i/>
          <w:sz w:val="24"/>
          <w:szCs w:val="24"/>
        </w:rPr>
        <w:t>trabalho</w:t>
      </w:r>
      <w:r>
        <w:rPr>
          <w:rFonts w:cs="Times New Roman" w:ascii="Times New Roman" w:hAnsi="Times New Roman"/>
          <w:sz w:val="24"/>
          <w:szCs w:val="24"/>
        </w:rPr>
        <w:t xml:space="preserve">, aos entrevistados foi perguntado sobre os principais problemas enfrentados no dia-a-dia no trabalho, sendo-lhe oferecidas 10 opções mais uma 11ª, “outra”, destinada a possibilitar algum acréscimo se necessário, segundo avaliação do entrevistado. Cada um deveria escolher até duas opções, sendo que por ordem de importância. Com relação à </w:t>
      </w:r>
      <w:r>
        <w:rPr>
          <w:rFonts w:cs="Times New Roman" w:ascii="Times New Roman" w:hAnsi="Times New Roman"/>
          <w:i/>
          <w:sz w:val="24"/>
          <w:szCs w:val="24"/>
        </w:rPr>
        <w:t>primeira opção</w:t>
      </w:r>
      <w:r>
        <w:rPr>
          <w:rFonts w:cs="Times New Roman" w:ascii="Times New Roman" w:hAnsi="Times New Roman"/>
          <w:sz w:val="24"/>
          <w:szCs w:val="24"/>
        </w:rPr>
        <w:t xml:space="preserve">, como se vê na Tabela abaixo, ganhou destaque </w:t>
      </w:r>
      <w:r>
        <w:rPr>
          <w:rFonts w:cs="Times New Roman" w:ascii="Times New Roman" w:hAnsi="Times New Roman"/>
          <w:i/>
          <w:sz w:val="24"/>
          <w:szCs w:val="24"/>
        </w:rPr>
        <w:t xml:space="preserve">tempo e condições de deslocamento de casa ao trabalho e vice-versa, com quase metade das citações </w:t>
      </w:r>
      <w:r>
        <w:rPr>
          <w:rFonts w:cs="Times New Roman" w:ascii="Times New Roman" w:hAnsi="Times New Roman"/>
          <w:sz w:val="24"/>
          <w:szCs w:val="24"/>
        </w:rPr>
        <w:t xml:space="preserve">(48,7%), o que corrobora a percepção de que o problema da mobilidade urbana, especialmente relacionada ao trabalho (mas também à escola e a outras atividades de grande necessidade), converteu-se nos últimos tempos em um dos mais relevantes problemas do dia-a-dia nas grandes cidades brasileiras. Acompanhou essa opção, embora de longe, a referência aos </w:t>
      </w:r>
      <w:r>
        <w:rPr>
          <w:rFonts w:cs="Times New Roman" w:ascii="Times New Roman" w:hAnsi="Times New Roman"/>
          <w:i/>
          <w:sz w:val="24"/>
          <w:szCs w:val="24"/>
        </w:rPr>
        <w:t>baixos salários</w:t>
      </w:r>
      <w:r>
        <w:rPr>
          <w:rFonts w:cs="Times New Roman" w:ascii="Times New Roman" w:hAnsi="Times New Roman"/>
          <w:sz w:val="24"/>
          <w:szCs w:val="24"/>
        </w:rPr>
        <w:t xml:space="preserve"> (12,6%), ao </w:t>
      </w:r>
      <w:r>
        <w:rPr>
          <w:rFonts w:cs="Times New Roman" w:ascii="Times New Roman" w:hAnsi="Times New Roman"/>
          <w:i/>
          <w:sz w:val="24"/>
          <w:szCs w:val="24"/>
        </w:rPr>
        <w:t>stress do dia-a-dia</w:t>
      </w:r>
      <w:r>
        <w:rPr>
          <w:rFonts w:cs="Times New Roman" w:ascii="Times New Roman" w:hAnsi="Times New Roman"/>
          <w:sz w:val="24"/>
          <w:szCs w:val="24"/>
        </w:rPr>
        <w:t xml:space="preserve"> (11,3%) e ao </w:t>
      </w:r>
      <w:r>
        <w:rPr>
          <w:rFonts w:cs="Times New Roman" w:ascii="Times New Roman" w:hAnsi="Times New Roman"/>
          <w:i/>
          <w:sz w:val="24"/>
          <w:szCs w:val="24"/>
        </w:rPr>
        <w:t>baixo incentivo para o trabalho</w:t>
      </w:r>
      <w:r>
        <w:rPr>
          <w:rFonts w:cs="Times New Roman" w:ascii="Times New Roman" w:hAnsi="Times New Roman"/>
          <w:sz w:val="24"/>
          <w:szCs w:val="24"/>
        </w:rPr>
        <w:t xml:space="preserve"> (5,0%). Digno de nota, ainda, é o fato de 16,7% terem assinalado </w:t>
      </w:r>
      <w:r>
        <w:rPr>
          <w:rFonts w:cs="Times New Roman" w:ascii="Times New Roman" w:hAnsi="Times New Roman"/>
          <w:i/>
          <w:sz w:val="24"/>
          <w:szCs w:val="24"/>
        </w:rPr>
        <w:t>nenhum problema</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Gráfico 16 – Principais problemas enfrentados no dia-a-dia no trabalho (primeira opção)</w:t>
      </w:r>
    </w:p>
    <w:p>
      <w:pPr>
        <w:pStyle w:val="Normal"/>
        <w:spacing w:lineRule="auto" w:line="360" w:before="0" w:after="0"/>
        <w:ind w:firstLine="567"/>
        <w:jc w:val="both"/>
        <w:rPr>
          <w:rFonts w:ascii="Times New Roman" w:hAnsi="Times New Roman" w:cs="Times New Roman"/>
          <w:sz w:val="24"/>
          <w:szCs w:val="24"/>
        </w:rPr>
      </w:pPr>
      <w:r>
        <w:rPr/>
        <w:drawing>
          <wp:inline distT="0" distB="0" distL="0" distR="0">
            <wp:extent cx="4918710" cy="2611755"/>
            <wp:effectExtent l="0" t="0" r="0" b="0"/>
            <wp:docPr id="2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240" w:before="0" w:after="0"/>
        <w:ind w:firstLine="708"/>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ind w:firstLine="708"/>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Para finalizar o eixo </w:t>
      </w:r>
      <w:r>
        <w:rPr>
          <w:rFonts w:cs="Times New Roman" w:ascii="Times New Roman" w:hAnsi="Times New Roman"/>
          <w:i/>
          <w:sz w:val="24"/>
          <w:szCs w:val="24"/>
        </w:rPr>
        <w:t>trabalho</w:t>
      </w:r>
      <w:r>
        <w:rPr>
          <w:rFonts w:cs="Times New Roman" w:ascii="Times New Roman" w:hAnsi="Times New Roman"/>
          <w:sz w:val="24"/>
          <w:szCs w:val="24"/>
        </w:rPr>
        <w:t xml:space="preserve">, foi perguntado aos entrevistados sobre seu </w:t>
      </w:r>
      <w:r>
        <w:rPr>
          <w:rFonts w:cs="Times New Roman" w:ascii="Times New Roman" w:hAnsi="Times New Roman"/>
          <w:i/>
          <w:sz w:val="24"/>
          <w:szCs w:val="24"/>
        </w:rPr>
        <w:t>principal plano para o futuro</w:t>
      </w:r>
      <w:r>
        <w:rPr>
          <w:rFonts w:cs="Times New Roman" w:ascii="Times New Roman" w:hAnsi="Times New Roman"/>
          <w:sz w:val="24"/>
          <w:szCs w:val="24"/>
        </w:rPr>
        <w:t xml:space="preserve">. Seis opções, mais a alternativa “outro”, foi oferecida. O destaque ficou para </w:t>
      </w:r>
      <w:r>
        <w:rPr>
          <w:rFonts w:cs="Times New Roman" w:ascii="Times New Roman" w:hAnsi="Times New Roman"/>
          <w:i/>
          <w:sz w:val="24"/>
          <w:szCs w:val="24"/>
        </w:rPr>
        <w:t>crescer neste ou em outro emprego</w:t>
      </w:r>
      <w:r>
        <w:rPr>
          <w:rFonts w:cs="Times New Roman" w:ascii="Times New Roman" w:hAnsi="Times New Roman"/>
          <w:sz w:val="24"/>
          <w:szCs w:val="24"/>
        </w:rPr>
        <w:t xml:space="preserve"> (45,0%), seguidos de </w:t>
      </w:r>
      <w:r>
        <w:rPr>
          <w:rFonts w:cs="Times New Roman" w:ascii="Times New Roman" w:hAnsi="Times New Roman"/>
          <w:i/>
          <w:sz w:val="24"/>
          <w:szCs w:val="24"/>
        </w:rPr>
        <w:t>tornar-se dono do seu próprio negócio</w:t>
      </w:r>
      <w:r>
        <w:rPr>
          <w:rFonts w:cs="Times New Roman" w:ascii="Times New Roman" w:hAnsi="Times New Roman"/>
          <w:sz w:val="24"/>
          <w:szCs w:val="24"/>
        </w:rPr>
        <w:t xml:space="preserve"> (22,0%) e </w:t>
      </w:r>
      <w:r>
        <w:rPr>
          <w:rFonts w:cs="Times New Roman" w:ascii="Times New Roman" w:hAnsi="Times New Roman"/>
          <w:i/>
          <w:sz w:val="24"/>
          <w:szCs w:val="24"/>
        </w:rPr>
        <w:t>passar em um concurso público</w:t>
      </w:r>
      <w:r>
        <w:rPr>
          <w:rFonts w:cs="Times New Roman" w:ascii="Times New Roman" w:hAnsi="Times New Roman"/>
          <w:sz w:val="24"/>
          <w:szCs w:val="24"/>
        </w:rPr>
        <w:t xml:space="preserve"> (12,9%), além de outros. Veja, no Gráfico 17, como se distribuíram as preferências.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17 – Principal plano para o futuro</w:t>
      </w:r>
    </w:p>
    <w:p>
      <w:pPr>
        <w:pStyle w:val="Normal"/>
        <w:spacing w:lineRule="auto" w:line="360" w:before="0" w:after="0"/>
        <w:ind w:firstLine="567"/>
        <w:jc w:val="both"/>
        <w:rPr>
          <w:rFonts w:ascii="Times New Roman" w:hAnsi="Times New Roman" w:cs="Times New Roman"/>
          <w:sz w:val="24"/>
          <w:szCs w:val="24"/>
        </w:rPr>
      </w:pPr>
      <w:r>
        <w:rPr/>
        <w:drawing>
          <wp:inline distT="0" distB="0" distL="0" distR="0">
            <wp:extent cx="5132070" cy="2649220"/>
            <wp:effectExtent l="0" t="0" r="0" b="0"/>
            <wp:docPr id="2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240" w:before="0" w:after="0"/>
        <w:ind w:firstLine="708"/>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Esse quesito, visto em relação a </w:t>
      </w:r>
      <w:r>
        <w:rPr>
          <w:rFonts w:cs="Times New Roman" w:ascii="Times New Roman" w:hAnsi="Times New Roman"/>
          <w:i/>
          <w:sz w:val="24"/>
          <w:szCs w:val="24"/>
        </w:rPr>
        <w:t>sexo</w:t>
      </w:r>
      <w:r>
        <w:rPr>
          <w:rFonts w:cs="Times New Roman" w:ascii="Times New Roman" w:hAnsi="Times New Roman"/>
          <w:sz w:val="24"/>
          <w:szCs w:val="24"/>
        </w:rPr>
        <w:t xml:space="preserve">, evidencia que é entre os homens em que o horizonte de </w:t>
      </w:r>
      <w:r>
        <w:rPr>
          <w:rFonts w:cs="Times New Roman" w:ascii="Times New Roman" w:hAnsi="Times New Roman"/>
          <w:i/>
          <w:sz w:val="24"/>
          <w:szCs w:val="24"/>
        </w:rPr>
        <w:t>tornar-se dono de seu próprio negócio</w:t>
      </w:r>
      <w:r>
        <w:rPr>
          <w:rFonts w:cs="Times New Roman" w:ascii="Times New Roman" w:hAnsi="Times New Roman"/>
          <w:sz w:val="24"/>
          <w:szCs w:val="24"/>
        </w:rPr>
        <w:t xml:space="preserve"> se apresenta com maior relevância, enquanto para as mulheres o destaque fica para o horizonte do </w:t>
      </w:r>
      <w:r>
        <w:rPr>
          <w:rFonts w:cs="Times New Roman" w:ascii="Times New Roman" w:hAnsi="Times New Roman"/>
          <w:i/>
          <w:sz w:val="24"/>
          <w:szCs w:val="24"/>
        </w:rPr>
        <w:t>concurso público</w:t>
      </w:r>
      <w:r>
        <w:rPr>
          <w:rFonts w:cs="Times New Roman" w:ascii="Times New Roman" w:hAnsi="Times New Roman"/>
          <w:sz w:val="24"/>
          <w:szCs w:val="24"/>
        </w:rPr>
        <w:t>.</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Tabela 9 – Principal plano para o futuro e Sexo</w:t>
      </w:r>
    </w:p>
    <w:tbl>
      <w:tblPr>
        <w:tblStyle w:val="Tabelacomgrade"/>
        <w:tblW w:w="8533" w:type="dxa"/>
        <w:jc w:val="center"/>
        <w:tblInd w:w="0" w:type="dxa"/>
        <w:tblCellMar>
          <w:top w:w="0" w:type="dxa"/>
          <w:left w:w="108" w:type="dxa"/>
          <w:bottom w:w="0" w:type="dxa"/>
          <w:right w:w="108" w:type="dxa"/>
        </w:tblCellMar>
        <w:tblLook w:firstRow="0" w:noVBand="0" w:lastRow="0" w:firstColumn="0" w:lastColumn="0" w:noHBand="0" w:val="0000"/>
      </w:tblPr>
      <w:tblGrid>
        <w:gridCol w:w="850"/>
        <w:gridCol w:w="4394"/>
        <w:gridCol w:w="1"/>
        <w:gridCol w:w="1132"/>
        <w:gridCol w:w="1"/>
        <w:gridCol w:w="1212"/>
        <w:gridCol w:w="1"/>
        <w:gridCol w:w="1"/>
        <w:gridCol w:w="941"/>
      </w:tblGrid>
      <w:tr>
        <w:trPr>
          <w:trHeight w:val="20" w:hRule="atLeast"/>
          <w:cnfStyle w:val="000000100000" w:firstRow="0" w:lastRow="0" w:firstColumn="0" w:lastColumn="0" w:oddVBand="0" w:evenVBand="0" w:oddHBand="1" w:evenHBand="0" w:firstRowFirstColumn="0" w:firstRowLastColumn="0" w:lastRowFirstColumn="0" w:lastRowLastColumn="0"/>
        </w:trPr>
        <w:tc>
          <w:tcPr>
            <w:tcW w:w="5245" w:type="dxa"/>
            <w:gridSpan w:val="3"/>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2347" w:type="dxa"/>
            <w:gridSpan w:val="5"/>
            <w:tcBorders/>
            <w:shd w:color="C0C0C0" w:fill="FFFFFF" w:val="solid"/>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Sexo</w:t>
            </w:r>
          </w:p>
        </w:tc>
        <w:tc>
          <w:tcPr>
            <w:tcW w:w="941" w:type="dxa"/>
            <w:vMerge w:val="restart"/>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Total</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5245" w:type="dxa"/>
            <w:gridSpan w:val="3"/>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1133" w:type="dxa"/>
            <w:gridSpan w:val="2"/>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Feminino</w:t>
            </w:r>
          </w:p>
        </w:tc>
        <w:tc>
          <w:tcPr>
            <w:tcW w:w="1213"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Masculino</w:t>
            </w:r>
          </w:p>
        </w:tc>
        <w:tc>
          <w:tcPr>
            <w:tcW w:w="942" w:type="dxa"/>
            <w:gridSpan w:val="2"/>
            <w:vMerge w:val="continue"/>
            <w:tcBorders>
              <w:right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850"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Plano</w:t>
            </w:r>
          </w:p>
        </w:tc>
        <w:tc>
          <w:tcPr>
            <w:tcW w:w="4394"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Crescer neste ou em outro emprego</w:t>
            </w:r>
          </w:p>
        </w:tc>
        <w:tc>
          <w:tcPr>
            <w:tcW w:w="1133"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44,9%</w:t>
            </w:r>
          </w:p>
        </w:tc>
        <w:tc>
          <w:tcPr>
            <w:tcW w:w="1213"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41,8%</w:t>
            </w:r>
          </w:p>
        </w:tc>
        <w:tc>
          <w:tcPr>
            <w:tcW w:w="943" w:type="dxa"/>
            <w:gridSpan w:val="3"/>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45,0%</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850"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394"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Tornar-se dono do seu próprio negócio</w:t>
            </w:r>
          </w:p>
        </w:tc>
        <w:tc>
          <w:tcPr>
            <w:tcW w:w="1133"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13,5%</w:t>
            </w:r>
          </w:p>
        </w:tc>
        <w:tc>
          <w:tcPr>
            <w:tcW w:w="1213"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23,7%</w:t>
            </w:r>
          </w:p>
        </w:tc>
        <w:tc>
          <w:tcPr>
            <w:tcW w:w="943" w:type="dxa"/>
            <w:gridSpan w:val="3"/>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22,0%</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850"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394"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Passar em um concurso público</w:t>
            </w:r>
          </w:p>
        </w:tc>
        <w:tc>
          <w:tcPr>
            <w:tcW w:w="1133"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18,0%</w:t>
            </w:r>
          </w:p>
        </w:tc>
        <w:tc>
          <w:tcPr>
            <w:tcW w:w="1213"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10,1%</w:t>
            </w:r>
          </w:p>
        </w:tc>
        <w:tc>
          <w:tcPr>
            <w:tcW w:w="943" w:type="dxa"/>
            <w:gridSpan w:val="3"/>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12,9%</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850"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394"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Buscar melhoras longe de Pernambuco</w:t>
            </w:r>
          </w:p>
        </w:tc>
        <w:tc>
          <w:tcPr>
            <w:tcW w:w="1133"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2,8%</w:t>
            </w:r>
          </w:p>
        </w:tc>
        <w:tc>
          <w:tcPr>
            <w:tcW w:w="1213"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9,6%</w:t>
            </w:r>
          </w:p>
        </w:tc>
        <w:tc>
          <w:tcPr>
            <w:tcW w:w="943" w:type="dxa"/>
            <w:gridSpan w:val="3"/>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7,6%</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850"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394"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Contribuir para ganhos coletivos no setor onde trabalha</w:t>
            </w:r>
          </w:p>
        </w:tc>
        <w:tc>
          <w:tcPr>
            <w:tcW w:w="1133"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6,7%</w:t>
            </w:r>
          </w:p>
        </w:tc>
        <w:tc>
          <w:tcPr>
            <w:tcW w:w="1213"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4,7%</w:t>
            </w:r>
          </w:p>
        </w:tc>
        <w:tc>
          <w:tcPr>
            <w:tcW w:w="943" w:type="dxa"/>
            <w:gridSpan w:val="3"/>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5,5%</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850"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394"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Aposentadoria</w:t>
            </w:r>
          </w:p>
        </w:tc>
        <w:tc>
          <w:tcPr>
            <w:tcW w:w="1133"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3,4%</w:t>
            </w:r>
          </w:p>
        </w:tc>
        <w:tc>
          <w:tcPr>
            <w:tcW w:w="1213"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1,6%</w:t>
            </w:r>
          </w:p>
        </w:tc>
        <w:tc>
          <w:tcPr>
            <w:tcW w:w="943" w:type="dxa"/>
            <w:gridSpan w:val="3"/>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2,5%</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850"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394" w:type="dxa"/>
            <w:tcBorders/>
            <w:shd w:color="C0C0C0" w:fill="FFFFFF" w:val="solid"/>
            <w:vAlign w:val="center"/>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rFonts w:eastAsia="" w:cs="Times New Roman" w:eastAsiaTheme="minorEastAsia" w:ascii="Times New Roman" w:hAnsi="Times New Roman"/>
                <w:color w:val="000000" w:themeColor="text1"/>
                <w:sz w:val="18"/>
                <w:szCs w:val="18"/>
                <w:lang w:eastAsia="pt-BR"/>
              </w:rPr>
              <w:t>Outros</w:t>
            </w:r>
          </w:p>
        </w:tc>
        <w:tc>
          <w:tcPr>
            <w:tcW w:w="1133"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10,70%</w:t>
            </w:r>
          </w:p>
        </w:tc>
        <w:tc>
          <w:tcPr>
            <w:tcW w:w="1213" w:type="dxa"/>
            <w:gridSpan w:val="2"/>
            <w:tcBorders/>
            <w:shd w:color="C0C0C0" w:fill="FFFFFF" w:val="solid"/>
            <w:vAlign w:val="center"/>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8,50%</w:t>
            </w:r>
          </w:p>
        </w:tc>
        <w:tc>
          <w:tcPr>
            <w:tcW w:w="943" w:type="dxa"/>
            <w:gridSpan w:val="3"/>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vAlign w:val="cente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4,50%</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5245"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Total</w:t>
            </w:r>
          </w:p>
        </w:tc>
        <w:tc>
          <w:tcPr>
            <w:tcW w:w="1133"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1213"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942" w:type="dxa"/>
            <w:gridSpan w:val="2"/>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r>
    </w:tbl>
    <w:p>
      <w:pPr>
        <w:pStyle w:val="Normal"/>
        <w:spacing w:lineRule="auto" w:line="240" w:before="0" w:after="0"/>
        <w:ind w:left="1416" w:firstLine="708"/>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2.3. Família</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A pergunta seguinte se referiu à posição econômica do entrevistado em casa. Com o Gráfico 74 constata-se que a esmagadora maioria ou se declarou </w:t>
      </w:r>
      <w:r>
        <w:rPr>
          <w:rFonts w:cs="Times New Roman" w:ascii="Times New Roman" w:hAnsi="Times New Roman"/>
          <w:i/>
          <w:sz w:val="24"/>
          <w:szCs w:val="24"/>
        </w:rPr>
        <w:t>provedor/a principal</w:t>
      </w:r>
      <w:r>
        <w:rPr>
          <w:rFonts w:cs="Times New Roman" w:ascii="Times New Roman" w:hAnsi="Times New Roman"/>
          <w:sz w:val="24"/>
          <w:szCs w:val="24"/>
        </w:rPr>
        <w:t xml:space="preserve"> (38,7%) ou que </w:t>
      </w:r>
      <w:r>
        <w:rPr>
          <w:rFonts w:cs="Times New Roman" w:ascii="Times New Roman" w:hAnsi="Times New Roman"/>
          <w:i/>
          <w:sz w:val="24"/>
          <w:szCs w:val="24"/>
        </w:rPr>
        <w:t>compartilha igualmente com outro/a a condição de provedor/a</w:t>
      </w:r>
      <w:r>
        <w:rPr>
          <w:rFonts w:cs="Times New Roman" w:ascii="Times New Roman" w:hAnsi="Times New Roman"/>
          <w:sz w:val="24"/>
          <w:szCs w:val="24"/>
        </w:rPr>
        <w:t xml:space="preserve"> (37,7%), o que totaliza 76,4% que se disseram participantes das responsabilidades de provedor da casa onde mora. Se a esses se somam os que se declararam </w:t>
      </w:r>
      <w:r>
        <w:rPr>
          <w:rFonts w:cs="Times New Roman" w:ascii="Times New Roman" w:hAnsi="Times New Roman"/>
          <w:i/>
          <w:sz w:val="24"/>
          <w:szCs w:val="24"/>
        </w:rPr>
        <w:t>dependentes, mas contribuem com o orçamento da casa</w:t>
      </w:r>
      <w:r>
        <w:rPr>
          <w:rFonts w:cs="Times New Roman" w:ascii="Times New Roman" w:hAnsi="Times New Roman"/>
          <w:sz w:val="24"/>
          <w:szCs w:val="24"/>
        </w:rPr>
        <w:t xml:space="preserve"> (17,2%), sobraram muito poucos sem responsabilidade alguma nas despesas da casa onde reside.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 xml:space="preserve">Gráfico 18 – </w:t>
      </w:r>
      <w:r>
        <w:rPr>
          <w:rFonts w:cs="Arial" w:ascii="Arial" w:hAnsi="Arial"/>
          <w:i/>
          <w:color w:val="000000" w:themeColor="text1"/>
          <w:sz w:val="20"/>
          <w:szCs w:val="20"/>
        </w:rPr>
        <w:t>Atual posição econômica em casa</w:t>
      </w:r>
    </w:p>
    <w:p>
      <w:pPr>
        <w:pStyle w:val="Normal"/>
        <w:spacing w:lineRule="auto" w:line="360" w:before="0" w:after="0"/>
        <w:jc w:val="center"/>
        <w:rPr>
          <w:rFonts w:ascii="Times New Roman" w:hAnsi="Times New Roman" w:cs="Times New Roman"/>
          <w:sz w:val="24"/>
          <w:szCs w:val="24"/>
        </w:rPr>
      </w:pPr>
      <w:r>
        <w:rPr/>
        <w:drawing>
          <wp:inline distT="0" distB="0" distL="0" distR="0">
            <wp:extent cx="3890645" cy="2235200"/>
            <wp:effectExtent l="0" t="0" r="0" b="0"/>
            <wp:docPr id="2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360" w:before="0" w:after="0"/>
        <w:ind w:firstLine="567"/>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ind w:firstLine="567"/>
        <w:jc w:val="both"/>
        <w:rPr>
          <w:rFonts w:ascii="Times New Roman" w:hAnsi="Times New Roman" w:cs="Times New Roman"/>
          <w:i/>
          <w:i/>
          <w:sz w:val="24"/>
          <w:szCs w:val="24"/>
        </w:rPr>
      </w:pPr>
      <w:r>
        <w:rPr>
          <w:rFonts w:cs="Times New Roman" w:ascii="Times New Roman" w:hAnsi="Times New Roman"/>
          <w:sz w:val="24"/>
          <w:szCs w:val="24"/>
        </w:rPr>
        <w:t xml:space="preserve">Os homens apresentaram bem maior proporção relativa na condição de </w:t>
      </w:r>
      <w:r>
        <w:rPr>
          <w:rFonts w:cs="Times New Roman" w:ascii="Times New Roman" w:hAnsi="Times New Roman"/>
          <w:i/>
          <w:sz w:val="24"/>
          <w:szCs w:val="24"/>
        </w:rPr>
        <w:t>provedor/a principal</w:t>
      </w:r>
      <w:r>
        <w:rPr>
          <w:rFonts w:cs="Times New Roman" w:ascii="Times New Roman" w:hAnsi="Times New Roman"/>
          <w:sz w:val="24"/>
          <w:szCs w:val="24"/>
        </w:rPr>
        <w:t xml:space="preserve">, enquanto as mulheres se destacaram na condição </w:t>
      </w:r>
      <w:r>
        <w:rPr>
          <w:rFonts w:cs="Times New Roman" w:ascii="Times New Roman" w:hAnsi="Times New Roman"/>
          <w:i/>
          <w:sz w:val="24"/>
          <w:szCs w:val="24"/>
        </w:rPr>
        <w:t>compartilha igualmente com outro/a a condição de provedor/a.</w:t>
      </w:r>
    </w:p>
    <w:p>
      <w:pPr>
        <w:pStyle w:val="Normal"/>
        <w:spacing w:lineRule="auto" w:line="360" w:before="0" w:after="0"/>
        <w:ind w:firstLine="567"/>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Tabela 10 – Atual posição econômica em casa e Sexo</w:t>
      </w:r>
    </w:p>
    <w:tbl>
      <w:tblPr>
        <w:tblStyle w:val="Tabelacomgrade"/>
        <w:tblW w:w="8222" w:type="dxa"/>
        <w:jc w:val="center"/>
        <w:tblInd w:w="0" w:type="dxa"/>
        <w:tblCellMar>
          <w:top w:w="0" w:type="dxa"/>
          <w:left w:w="108" w:type="dxa"/>
          <w:bottom w:w="0" w:type="dxa"/>
          <w:right w:w="108" w:type="dxa"/>
        </w:tblCellMar>
        <w:tblLook w:firstRow="0" w:noVBand="0" w:lastRow="0" w:firstColumn="0" w:lastColumn="0" w:noHBand="0" w:val="0000"/>
      </w:tblPr>
      <w:tblGrid>
        <w:gridCol w:w="958"/>
        <w:gridCol w:w="4003"/>
        <w:gridCol w:w="1133"/>
        <w:gridCol w:w="1"/>
        <w:gridCol w:w="1133"/>
        <w:gridCol w:w="1"/>
        <w:gridCol w:w="993"/>
      </w:tblGrid>
      <w:tr>
        <w:trPr>
          <w:trHeight w:val="20" w:hRule="atLeast"/>
          <w:cnfStyle w:val="000000100000" w:firstRow="0" w:lastRow="0" w:firstColumn="0" w:lastColumn="0" w:oddVBand="0" w:evenVBand="0" w:oddHBand="1" w:evenHBand="0" w:firstRowFirstColumn="0" w:firstRowLastColumn="0" w:lastRowFirstColumn="0" w:lastRowLastColumn="0"/>
        </w:trPr>
        <w:tc>
          <w:tcPr>
            <w:tcW w:w="4961" w:type="dxa"/>
            <w:gridSpan w:val="2"/>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2268" w:type="dxa"/>
            <w:gridSpan w:val="4"/>
            <w:tcBorders/>
            <w:shd w:color="C0C0C0" w:fill="FFFFFF" w:val="solid"/>
          </w:tcPr>
          <w:p>
            <w:pPr>
              <w:pStyle w:val="Normal"/>
              <w:spacing w:lineRule="auto" w:line="240" w:before="0" w:after="0"/>
              <w:ind w:left="60" w:right="60" w:hang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Sexo</w:t>
            </w:r>
          </w:p>
        </w:tc>
        <w:tc>
          <w:tcPr>
            <w:tcW w:w="993" w:type="dxa"/>
            <w:vMerge w:val="restart"/>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Total</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4961" w:type="dxa"/>
            <w:gridSpan w:val="2"/>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1134" w:type="dxa"/>
            <w:gridSpan w:val="2"/>
            <w:tcBorders/>
            <w:shd w:fill="auto" w:val="clear"/>
          </w:tcPr>
          <w:p>
            <w:pPr>
              <w:pStyle w:val="Normal"/>
              <w:spacing w:lineRule="auto" w:line="240" w:before="0" w:after="0"/>
              <w:ind w:left="60" w:right="60" w:hang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Feminino</w:t>
            </w:r>
          </w:p>
        </w:tc>
        <w:tc>
          <w:tcPr>
            <w:tcW w:w="1134"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center"/>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Masculino</w:t>
            </w:r>
          </w:p>
        </w:tc>
        <w:tc>
          <w:tcPr>
            <w:tcW w:w="993" w:type="dxa"/>
            <w:vMerge w:val="continue"/>
            <w:tcBorders>
              <w:right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958" w:type="dxa"/>
            <w:vMerge w:val="restart"/>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Atual posição econômica em casa</w:t>
            </w:r>
          </w:p>
        </w:tc>
        <w:tc>
          <w:tcPr>
            <w:tcW w:w="4003"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Provedor/a principal</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28,1%</w:t>
            </w:r>
          </w:p>
        </w:tc>
        <w:tc>
          <w:tcPr>
            <w:tcW w:w="1134"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43,2%</w:t>
            </w:r>
          </w:p>
        </w:tc>
        <w:tc>
          <w:tcPr>
            <w:tcW w:w="994"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38,7%</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958"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003"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Compartilha igualmente com outro/a a condição de provedor/a</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44,4%</w:t>
            </w:r>
          </w:p>
        </w:tc>
        <w:tc>
          <w:tcPr>
            <w:tcW w:w="1134"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35,0%</w:t>
            </w:r>
          </w:p>
        </w:tc>
        <w:tc>
          <w:tcPr>
            <w:tcW w:w="994"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37,7%</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958"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003"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É dependente, mas contribui com o orçamento da casa</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18,0%</w:t>
            </w:r>
          </w:p>
        </w:tc>
        <w:tc>
          <w:tcPr>
            <w:tcW w:w="1134"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16,9%</w:t>
            </w:r>
          </w:p>
        </w:tc>
        <w:tc>
          <w:tcPr>
            <w:tcW w:w="994"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17,2%</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958"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003" w:type="dxa"/>
            <w:tcBorders/>
            <w:shd w:fill="auto" w:val="clear"/>
          </w:tcPr>
          <w:p>
            <w:pPr>
              <w:pStyle w:val="Normal"/>
              <w:spacing w:lineRule="auto" w:line="240" w:before="0" w:after="0"/>
              <w:ind w:left="60" w:right="60" w:hanging="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Dependente, sem contribuir com o orçamento da casa</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6,2%</w:t>
            </w:r>
          </w:p>
        </w:tc>
        <w:tc>
          <w:tcPr>
            <w:tcW w:w="1134"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3,5%</w:t>
            </w:r>
          </w:p>
        </w:tc>
        <w:tc>
          <w:tcPr>
            <w:tcW w:w="994"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4,3%</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958" w:type="dxa"/>
            <w:vMerge w:val="continue"/>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rPr>
                <w:rFonts w:ascii="Times New Roman" w:hAnsi="Times New Roman" w:eastAsia="" w:cs="Times New Roman"/>
                <w:color w:val="000000" w:themeColor="text1"/>
                <w:sz w:val="18"/>
                <w:szCs w:val="18"/>
                <w:lang w:eastAsia="pt-BR"/>
              </w:rPr>
            </w:pPr>
            <w:r>
              <w:rPr>
                <w:rFonts w:eastAsia="" w:cs="Times New Roman" w:ascii="Times New Roman" w:hAnsi="Times New Roman"/>
                <w:color w:val="000000" w:themeColor="text1"/>
                <w:sz w:val="18"/>
                <w:szCs w:val="18"/>
                <w:lang w:eastAsia="pt-BR"/>
              </w:rPr>
            </w:r>
          </w:p>
        </w:tc>
        <w:tc>
          <w:tcPr>
            <w:tcW w:w="4003" w:type="dxa"/>
            <w:tcBorders/>
            <w:shd w:color="C0C0C0" w:fill="FFFFFF" w:val="solid"/>
          </w:tcPr>
          <w:p>
            <w:pPr>
              <w:pStyle w:val="Normal"/>
              <w:spacing w:lineRule="auto" w:line="240" w:before="0" w:after="0"/>
              <w:ind w:left="60" w:right="60" w:hang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Outra situação</w:t>
            </w:r>
          </w:p>
        </w:tc>
        <w:tc>
          <w:tcPr>
            <w:tcW w:w="1133" w:type="dxa"/>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3,4%</w:t>
            </w:r>
          </w:p>
        </w:tc>
        <w:tc>
          <w:tcPr>
            <w:tcW w:w="1134" w:type="dxa"/>
            <w:gridSpan w:val="2"/>
            <w:tcBorders/>
            <w:shd w:color="C0C0C0" w:fill="FFFFFF" w:val="solid"/>
          </w:tcPr>
          <w:p>
            <w:pPr>
              <w:pStyle w:val="Normal"/>
              <w:spacing w:lineRule="auto" w:line="240" w:before="0" w:after="0"/>
              <w:ind w:left="60" w:right="60" w:hang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1,4%</w:t>
            </w:r>
          </w:p>
        </w:tc>
        <w:tc>
          <w:tcPr>
            <w:tcW w:w="994" w:type="dxa"/>
            <w:gridSpan w:val="2"/>
            <w:cnfStyle w:val="000010000000" w:firstRow="0" w:lastRow="0" w:firstColumn="0" w:lastColumn="0" w:oddVBand="1" w:evenVBand="0" w:oddHBand="0" w:evenHBand="0" w:firstRowFirstColumn="0" w:firstRowLastColumn="0" w:lastRowFirstColumn="0" w:lastRowLastColumn="0"/>
            <w:tcBorders>
              <w:right w:val="nil"/>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2,0%</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4961" w:type="dxa"/>
            <w:gridSpan w:val="2"/>
            <w:cnfStyle w:val="000010000000" w:firstRow="0" w:lastRow="0" w:firstColumn="0" w:lastColumn="0" w:oddVBand="1" w:evenVBand="0" w:oddHBand="0" w:evenHBand="0" w:firstRowFirstColumn="0" w:firstRowLastColumn="0" w:lastRowFirstColumn="0" w:lastRowLastColumn="0"/>
            <w:tcBorders>
              <w:left w:val="nil"/>
            </w:tcBorders>
            <w:shd w:color="auto" w:fill="F2F2F2" w:themeFill="background1" w:themeFillShade="f2" w:val="clear"/>
          </w:tcPr>
          <w:p>
            <w:pPr>
              <w:pStyle w:val="Normal"/>
              <w:spacing w:lineRule="auto" w:line="240" w:before="0" w:after="0"/>
              <w:ind w:left="60" w:right="60" w:hanging="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Total</w:t>
            </w:r>
          </w:p>
        </w:tc>
        <w:tc>
          <w:tcPr>
            <w:tcW w:w="1134" w:type="dxa"/>
            <w:gridSpan w:val="2"/>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1134" w:type="dxa"/>
            <w:gridSpan w:val="2"/>
            <w:cnfStyle w:val="000010000000" w:firstRow="0" w:lastRow="0" w:firstColumn="0" w:lastColumn="0" w:oddVBand="1"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0" w:after="0"/>
              <w:ind w:left="60" w:right="60" w:hanging="0"/>
              <w:jc w:val="right"/>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c>
          <w:tcPr>
            <w:tcW w:w="993" w:type="dxa"/>
            <w:tcBorders>
              <w:right w:val="nil"/>
            </w:tcBorders>
            <w:shd w:fill="auto" w:val="clear"/>
          </w:tcPr>
          <w:p>
            <w:pPr>
              <w:pStyle w:val="Normal"/>
              <w:spacing w:lineRule="auto" w:line="240" w:before="0" w:after="0"/>
              <w:ind w:left="60" w:right="60" w:hanging="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eastAsia="" w:cs="Times New Roman" w:eastAsiaTheme="minorEastAsia" w:ascii="Times New Roman" w:hAnsi="Times New Roman"/>
                <w:color w:val="000000" w:themeColor="text1"/>
                <w:sz w:val="18"/>
                <w:szCs w:val="18"/>
                <w:lang w:eastAsia="pt-BR"/>
              </w:rPr>
              <w:t>100,0%</w:t>
            </w:r>
          </w:p>
        </w:tc>
      </w:tr>
    </w:tbl>
    <w:p>
      <w:pPr>
        <w:pStyle w:val="Normal"/>
        <w:spacing w:lineRule="auto" w:line="240" w:before="0" w:after="0"/>
        <w:ind w:left="1416" w:firstLine="708"/>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Fonte: Pesquisa SINDPD-PE 2017</w:t>
      </w:r>
    </w:p>
    <w:p>
      <w:pPr>
        <w:pStyle w:val="Normal"/>
        <w:spacing w:lineRule="auto" w:line="360" w:before="0" w:after="0"/>
        <w:ind w:firstLine="567"/>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Com a preocupação de buscar apreender as concepções e práticas dos trabalhadores de TI na RMR no tema da </w:t>
      </w:r>
      <w:r>
        <w:rPr>
          <w:rFonts w:cs="Times New Roman" w:ascii="Times New Roman" w:hAnsi="Times New Roman"/>
          <w:i/>
          <w:sz w:val="24"/>
          <w:szCs w:val="24"/>
        </w:rPr>
        <w:t>família</w:t>
      </w:r>
      <w:r>
        <w:rPr>
          <w:rFonts w:cs="Times New Roman" w:ascii="Times New Roman" w:hAnsi="Times New Roman"/>
          <w:sz w:val="24"/>
          <w:szCs w:val="24"/>
        </w:rPr>
        <w:t xml:space="preserve">, foi perguntado aos entrevistados quais os principais valores praticados na sua família de origem. Foram-lhes ofertadas 9 opções, mais a alternativa “outra”, sendo que cada um poderia escolher até duas sem estabelecer ordem de prioridade. Dentre as escolhidas realizadas (totalizando 1.196 respostas), destacou-se a opção </w:t>
      </w:r>
      <w:r>
        <w:rPr>
          <w:rFonts w:cs="Times New Roman" w:ascii="Times New Roman" w:hAnsi="Times New Roman"/>
          <w:i/>
          <w:sz w:val="24"/>
          <w:szCs w:val="24"/>
        </w:rPr>
        <w:t>ser honesto</w:t>
      </w:r>
      <w:r>
        <w:rPr>
          <w:rFonts w:cs="Times New Roman" w:ascii="Times New Roman" w:hAnsi="Times New Roman"/>
          <w:sz w:val="24"/>
          <w:szCs w:val="24"/>
        </w:rPr>
        <w:t xml:space="preserve"> (com 39,1%). Sabe-se que se trata, este, de um valor tradicional, contudo pode ser que essa escolha tenha sido influenciada por um contexto político no qual ganhou centralidade o tema da corrupção. Na sequência, vieram as opções </w:t>
      </w:r>
      <w:r>
        <w:rPr>
          <w:rFonts w:cs="Times New Roman" w:ascii="Times New Roman" w:hAnsi="Times New Roman"/>
          <w:i/>
          <w:sz w:val="24"/>
          <w:szCs w:val="24"/>
        </w:rPr>
        <w:t>ser</w:t>
      </w:r>
      <w:r>
        <w:rPr>
          <w:rFonts w:cs="Times New Roman" w:ascii="Times New Roman" w:hAnsi="Times New Roman"/>
          <w:i/>
          <w:color w:val="000000"/>
          <w:sz w:val="18"/>
          <w:szCs w:val="18"/>
        </w:rPr>
        <w:t xml:space="preserve"> </w:t>
      </w:r>
      <w:r>
        <w:rPr>
          <w:rFonts w:cs="Times New Roman" w:ascii="Times New Roman" w:hAnsi="Times New Roman"/>
          <w:i/>
          <w:sz w:val="24"/>
          <w:szCs w:val="24"/>
        </w:rPr>
        <w:t>determinado</w:t>
      </w:r>
      <w:r>
        <w:rPr>
          <w:rFonts w:cs="Times New Roman" w:ascii="Times New Roman" w:hAnsi="Times New Roman"/>
          <w:sz w:val="24"/>
          <w:szCs w:val="24"/>
        </w:rPr>
        <w:t xml:space="preserve"> (13,0%), </w:t>
      </w:r>
      <w:r>
        <w:rPr>
          <w:rFonts w:cs="Times New Roman" w:ascii="Times New Roman" w:hAnsi="Times New Roman"/>
          <w:i/>
          <w:sz w:val="24"/>
          <w:szCs w:val="24"/>
        </w:rPr>
        <w:t>respeitar a autoridade</w:t>
      </w:r>
      <w:r>
        <w:rPr>
          <w:rFonts w:cs="Times New Roman" w:ascii="Times New Roman" w:hAnsi="Times New Roman"/>
          <w:sz w:val="24"/>
          <w:szCs w:val="24"/>
        </w:rPr>
        <w:t xml:space="preserve"> (12,8%) e </w:t>
      </w:r>
      <w:r>
        <w:rPr>
          <w:rFonts w:cs="Times New Roman" w:ascii="Times New Roman" w:hAnsi="Times New Roman"/>
          <w:i/>
          <w:sz w:val="24"/>
          <w:szCs w:val="24"/>
        </w:rPr>
        <w:t>ter fé</w:t>
      </w:r>
      <w:r>
        <w:rPr>
          <w:rFonts w:cs="Times New Roman" w:ascii="Times New Roman" w:hAnsi="Times New Roman"/>
          <w:sz w:val="24"/>
          <w:szCs w:val="24"/>
        </w:rPr>
        <w:t xml:space="preserve"> (11,9%), sendo que as duas últimas são de apelo claramente conservador. </w:t>
      </w:r>
      <w:r>
        <w:rPr>
          <w:rFonts w:cs="Times New Roman" w:ascii="Times New Roman" w:hAnsi="Times New Roman"/>
          <w:i/>
          <w:sz w:val="24"/>
          <w:szCs w:val="24"/>
        </w:rPr>
        <w:t>Ser solidário</w:t>
      </w:r>
      <w:r>
        <w:rPr>
          <w:rFonts w:cs="Times New Roman" w:ascii="Times New Roman" w:hAnsi="Times New Roman"/>
          <w:sz w:val="24"/>
          <w:szCs w:val="24"/>
        </w:rPr>
        <w:t xml:space="preserve">, </w:t>
      </w:r>
      <w:r>
        <w:rPr>
          <w:rFonts w:cs="Times New Roman" w:ascii="Times New Roman" w:hAnsi="Times New Roman"/>
          <w:i/>
          <w:sz w:val="24"/>
          <w:szCs w:val="24"/>
        </w:rPr>
        <w:t>ter autonomia</w:t>
      </w:r>
      <w:r>
        <w:rPr>
          <w:rFonts w:cs="Times New Roman" w:ascii="Times New Roman" w:hAnsi="Times New Roman"/>
          <w:sz w:val="24"/>
          <w:szCs w:val="24"/>
        </w:rPr>
        <w:t xml:space="preserve"> e </w:t>
      </w:r>
      <w:r>
        <w:rPr>
          <w:rFonts w:cs="Times New Roman" w:ascii="Times New Roman" w:hAnsi="Times New Roman"/>
          <w:i/>
          <w:sz w:val="24"/>
          <w:szCs w:val="24"/>
        </w:rPr>
        <w:t>ser livre</w:t>
      </w:r>
      <w:r>
        <w:rPr>
          <w:rFonts w:cs="Times New Roman" w:ascii="Times New Roman" w:hAnsi="Times New Roman"/>
          <w:sz w:val="24"/>
          <w:szCs w:val="24"/>
        </w:rPr>
        <w:t>, com apelos mais progressistas e libertários, apareceram em posições bem menos expressivas, 8,1%, 7,6% e 4,0%, respectivamente. Ver Gráfico 77 e Tabela 130.</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19 – Principais valores na família de origem</w:t>
      </w:r>
    </w:p>
    <w:p>
      <w:pPr>
        <w:pStyle w:val="Normal"/>
        <w:spacing w:lineRule="auto" w:line="360" w:before="0" w:after="0"/>
        <w:ind w:firstLine="567"/>
        <w:rPr>
          <w:rFonts w:ascii="Times New Roman" w:hAnsi="Times New Roman" w:cs="Times New Roman"/>
          <w:sz w:val="24"/>
          <w:szCs w:val="24"/>
        </w:rPr>
      </w:pPr>
      <w:r>
        <w:rPr/>
        <w:drawing>
          <wp:inline distT="0" distB="0" distL="0" distR="0">
            <wp:extent cx="4267200" cy="2430145"/>
            <wp:effectExtent l="0" t="0" r="0" b="0"/>
            <wp:docPr id="2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Por último, no tema </w:t>
      </w:r>
      <w:r>
        <w:rPr>
          <w:rFonts w:cs="Times New Roman" w:ascii="Times New Roman" w:hAnsi="Times New Roman"/>
          <w:i/>
          <w:sz w:val="24"/>
          <w:szCs w:val="24"/>
        </w:rPr>
        <w:t>família</w:t>
      </w:r>
      <w:r>
        <w:rPr>
          <w:rFonts w:cs="Times New Roman" w:ascii="Times New Roman" w:hAnsi="Times New Roman"/>
          <w:sz w:val="24"/>
          <w:szCs w:val="24"/>
        </w:rPr>
        <w:t xml:space="preserve">, perguntou-se sobre, na família de origem, onde o entrevistado foi ensinado a buscar os valores mais virtuosos. Mais uma tentativa de apreender os valores familiares que influenciaram a formação dos trabalhadores em TI da RMR. As respostas, diante de 9 opções disponibilizadas (mais a alternativa “outra”), deveria recair sobre até duas opções, sendo que com ordem de prioridade indicada. No que se refere à </w:t>
      </w:r>
      <w:r>
        <w:rPr>
          <w:rFonts w:cs="Times New Roman" w:ascii="Times New Roman" w:hAnsi="Times New Roman"/>
          <w:i/>
          <w:sz w:val="24"/>
          <w:szCs w:val="24"/>
        </w:rPr>
        <w:t>primeira opção</w:t>
      </w:r>
      <w:r>
        <w:rPr>
          <w:rFonts w:cs="Times New Roman" w:ascii="Times New Roman" w:hAnsi="Times New Roman"/>
          <w:sz w:val="24"/>
          <w:szCs w:val="24"/>
        </w:rPr>
        <w:t xml:space="preserve">, a preferência absoluta destinou-se à alternativa </w:t>
      </w:r>
      <w:r>
        <w:rPr>
          <w:rFonts w:cs="Times New Roman" w:ascii="Times New Roman" w:hAnsi="Times New Roman"/>
          <w:i/>
          <w:sz w:val="24"/>
          <w:szCs w:val="24"/>
        </w:rPr>
        <w:t>na família</w:t>
      </w:r>
      <w:r>
        <w:rPr>
          <w:rFonts w:cs="Times New Roman" w:ascii="Times New Roman" w:hAnsi="Times New Roman"/>
          <w:sz w:val="24"/>
          <w:szCs w:val="24"/>
        </w:rPr>
        <w:t xml:space="preserve"> (79,5%). A escolha por </w:t>
      </w:r>
      <w:r>
        <w:rPr>
          <w:rFonts w:cs="Times New Roman" w:ascii="Times New Roman" w:hAnsi="Times New Roman"/>
          <w:i/>
          <w:sz w:val="24"/>
          <w:szCs w:val="24"/>
        </w:rPr>
        <w:t>na escola</w:t>
      </w:r>
      <w:r>
        <w:rPr>
          <w:rFonts w:cs="Times New Roman" w:ascii="Times New Roman" w:hAnsi="Times New Roman"/>
          <w:sz w:val="24"/>
          <w:szCs w:val="24"/>
        </w:rPr>
        <w:t xml:space="preserve"> veio em segundo lugar, mas com uma proporção muito distante (12,3%). Foram citados com alguma relevância ainda </w:t>
      </w:r>
      <w:r>
        <w:rPr>
          <w:rFonts w:cs="Times New Roman" w:ascii="Times New Roman" w:hAnsi="Times New Roman"/>
          <w:i/>
          <w:sz w:val="24"/>
          <w:szCs w:val="24"/>
        </w:rPr>
        <w:t>na religião</w:t>
      </w:r>
      <w:r>
        <w:rPr>
          <w:rFonts w:cs="Times New Roman" w:ascii="Times New Roman" w:hAnsi="Times New Roman"/>
          <w:sz w:val="24"/>
          <w:szCs w:val="24"/>
        </w:rPr>
        <w:t xml:space="preserve"> (5,5%). </w:t>
      </w:r>
      <w:r>
        <w:rPr>
          <w:rFonts w:cs="Times New Roman" w:ascii="Times New Roman" w:hAnsi="Times New Roman"/>
          <w:i/>
          <w:sz w:val="24"/>
          <w:szCs w:val="24"/>
        </w:rPr>
        <w:t>No trabalho</w:t>
      </w:r>
      <w:r>
        <w:rPr>
          <w:rFonts w:cs="Times New Roman" w:ascii="Times New Roman" w:hAnsi="Times New Roman"/>
          <w:sz w:val="24"/>
          <w:szCs w:val="24"/>
        </w:rPr>
        <w:t xml:space="preserve"> e todas as demais opções somaram 2,6%. Na </w:t>
      </w:r>
      <w:r>
        <w:rPr>
          <w:rFonts w:cs="Times New Roman" w:ascii="Times New Roman" w:hAnsi="Times New Roman"/>
          <w:i/>
          <w:sz w:val="24"/>
          <w:szCs w:val="24"/>
        </w:rPr>
        <w:t>política</w:t>
      </w:r>
      <w:r>
        <w:rPr>
          <w:rFonts w:cs="Times New Roman" w:ascii="Times New Roman" w:hAnsi="Times New Roman"/>
          <w:sz w:val="24"/>
          <w:szCs w:val="24"/>
        </w:rPr>
        <w:t xml:space="preserve"> e </w:t>
      </w:r>
      <w:r>
        <w:rPr>
          <w:rFonts w:cs="Times New Roman" w:ascii="Times New Roman" w:hAnsi="Times New Roman"/>
          <w:i/>
          <w:sz w:val="24"/>
          <w:szCs w:val="24"/>
        </w:rPr>
        <w:t>na autoridade pública</w:t>
      </w:r>
      <w:r>
        <w:rPr>
          <w:rFonts w:cs="Times New Roman" w:ascii="Times New Roman" w:hAnsi="Times New Roman"/>
          <w:sz w:val="24"/>
          <w:szCs w:val="24"/>
        </w:rPr>
        <w:t xml:space="preserve"> não receberam registros. Ver Gráfico 78.</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20 – Na família de origem, onde foi ensinado a buscar os valores mais virtuosos (primeira opção)</w:t>
      </w:r>
    </w:p>
    <w:p>
      <w:pPr>
        <w:pStyle w:val="Normal"/>
        <w:spacing w:lineRule="auto" w:line="360" w:before="0" w:after="0"/>
        <w:ind w:firstLine="567"/>
        <w:jc w:val="center"/>
        <w:rPr>
          <w:rFonts w:ascii="Times New Roman" w:hAnsi="Times New Roman" w:cs="Times New Roman"/>
          <w:sz w:val="24"/>
          <w:szCs w:val="24"/>
        </w:rPr>
      </w:pPr>
      <w:r>
        <w:rPr/>
        <w:drawing>
          <wp:inline distT="0" distB="0" distL="0" distR="0">
            <wp:extent cx="4034790" cy="2395855"/>
            <wp:effectExtent l="0" t="0" r="0" b="0"/>
            <wp:docPr id="2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2.4. Escola</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O tema </w:t>
      </w:r>
      <w:r>
        <w:rPr>
          <w:rFonts w:cs="Times New Roman" w:ascii="Times New Roman" w:hAnsi="Times New Roman"/>
          <w:i/>
          <w:sz w:val="24"/>
          <w:szCs w:val="24"/>
        </w:rPr>
        <w:t>escola</w:t>
      </w:r>
      <w:r>
        <w:rPr>
          <w:rFonts w:cs="Times New Roman" w:ascii="Times New Roman" w:hAnsi="Times New Roman"/>
          <w:sz w:val="24"/>
          <w:szCs w:val="24"/>
        </w:rPr>
        <w:t xml:space="preserve">, além do item geral sobre </w:t>
      </w:r>
      <w:r>
        <w:rPr>
          <w:rFonts w:cs="Times New Roman" w:ascii="Times New Roman" w:hAnsi="Times New Roman"/>
          <w:i/>
          <w:sz w:val="24"/>
          <w:szCs w:val="24"/>
        </w:rPr>
        <w:t>nível de escolaridade</w:t>
      </w:r>
      <w:r>
        <w:rPr>
          <w:rFonts w:cs="Times New Roman" w:ascii="Times New Roman" w:hAnsi="Times New Roman"/>
          <w:sz w:val="24"/>
          <w:szCs w:val="24"/>
        </w:rPr>
        <w:t xml:space="preserve">, referido nos </w:t>
      </w:r>
      <w:r>
        <w:rPr>
          <w:rFonts w:cs="Times New Roman" w:ascii="Times New Roman" w:hAnsi="Times New Roman"/>
          <w:i/>
          <w:sz w:val="24"/>
          <w:szCs w:val="24"/>
        </w:rPr>
        <w:t>dados sociodemográficos</w:t>
      </w:r>
      <w:r>
        <w:rPr>
          <w:rFonts w:cs="Times New Roman" w:ascii="Times New Roman" w:hAnsi="Times New Roman"/>
          <w:sz w:val="24"/>
          <w:szCs w:val="24"/>
        </w:rPr>
        <w:t xml:space="preserve">, foi incrementado a partir de um conjunto específico de quesitos. O primeiro deles perguntou ao entrevistado, quanto à sua trajetória escolar, se teria ocorrido </w:t>
      </w:r>
      <w:r>
        <w:rPr>
          <w:rFonts w:cs="Times New Roman" w:ascii="Times New Roman" w:hAnsi="Times New Roman"/>
          <w:i/>
          <w:sz w:val="24"/>
          <w:szCs w:val="24"/>
        </w:rPr>
        <w:t>sempre em escola pública</w:t>
      </w:r>
      <w:r>
        <w:rPr>
          <w:rFonts w:cs="Times New Roman" w:ascii="Times New Roman" w:hAnsi="Times New Roman"/>
          <w:sz w:val="24"/>
          <w:szCs w:val="24"/>
        </w:rPr>
        <w:t xml:space="preserve">, </w:t>
      </w:r>
      <w:r>
        <w:rPr>
          <w:rFonts w:cs="Times New Roman" w:ascii="Times New Roman" w:hAnsi="Times New Roman"/>
          <w:i/>
          <w:sz w:val="24"/>
          <w:szCs w:val="24"/>
        </w:rPr>
        <w:t>sempre em escola privada</w:t>
      </w:r>
      <w:r>
        <w:rPr>
          <w:rFonts w:cs="Times New Roman" w:ascii="Times New Roman" w:hAnsi="Times New Roman"/>
          <w:sz w:val="24"/>
          <w:szCs w:val="24"/>
        </w:rPr>
        <w:t xml:space="preserve"> ou em ambas. As respostas (ver Gráfico 21) assim se distribuíram.</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21 – Onde estudou (ou estuda)</w:t>
      </w:r>
    </w:p>
    <w:p>
      <w:pPr>
        <w:pStyle w:val="Normal"/>
        <w:spacing w:lineRule="auto" w:line="360" w:before="0" w:after="0"/>
        <w:ind w:firstLine="567"/>
        <w:jc w:val="center"/>
        <w:rPr>
          <w:rFonts w:ascii="Times New Roman" w:hAnsi="Times New Roman" w:cs="Times New Roman"/>
          <w:sz w:val="24"/>
          <w:szCs w:val="24"/>
        </w:rPr>
      </w:pPr>
      <w:r>
        <w:rPr/>
        <w:drawing>
          <wp:inline distT="0" distB="0" distL="0" distR="0">
            <wp:extent cx="3594100" cy="2252345"/>
            <wp:effectExtent l="0" t="0" r="0" b="0"/>
            <wp:docPr id="2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Na sequência, foi perguntado aos entrevistados </w:t>
      </w:r>
      <w:r>
        <w:rPr>
          <w:rFonts w:cs="Times New Roman" w:ascii="Times New Roman" w:hAnsi="Times New Roman"/>
          <w:i/>
          <w:sz w:val="24"/>
          <w:szCs w:val="24"/>
        </w:rPr>
        <w:t>de onde vieram os principais incentivos para o seu estudo</w:t>
      </w:r>
      <w:r>
        <w:rPr>
          <w:rFonts w:cs="Times New Roman" w:ascii="Times New Roman" w:hAnsi="Times New Roman"/>
          <w:sz w:val="24"/>
          <w:szCs w:val="24"/>
        </w:rPr>
        <w:t xml:space="preserve">. Foram-lhe oferecidas 6 opções, mais a alternativa “outro”, sendo que a cada um era facultada a possibilidade de escolher duas opções, indicando uma ordem de prioridade. Novamente a família se projetou ao centro das referências dos respondentes (ver Gráfico 22). Sozinha, a opção </w:t>
      </w:r>
      <w:r>
        <w:rPr>
          <w:rFonts w:cs="Times New Roman" w:ascii="Times New Roman" w:hAnsi="Times New Roman"/>
          <w:i/>
          <w:sz w:val="24"/>
          <w:szCs w:val="24"/>
        </w:rPr>
        <w:t>da família de origem</w:t>
      </w:r>
      <w:r>
        <w:rPr>
          <w:rFonts w:cs="Times New Roman" w:ascii="Times New Roman" w:hAnsi="Times New Roman"/>
          <w:sz w:val="24"/>
          <w:szCs w:val="24"/>
        </w:rPr>
        <w:t xml:space="preserve"> adquiriu 82,1% citações, seguidas de muito longe </w:t>
      </w:r>
      <w:r>
        <w:rPr>
          <w:rFonts w:cs="Times New Roman" w:ascii="Times New Roman" w:hAnsi="Times New Roman"/>
          <w:i/>
          <w:sz w:val="24"/>
          <w:szCs w:val="24"/>
        </w:rPr>
        <w:t>do trabalho</w:t>
      </w:r>
      <w:r>
        <w:rPr>
          <w:rFonts w:cs="Times New Roman" w:ascii="Times New Roman" w:hAnsi="Times New Roman"/>
          <w:sz w:val="24"/>
          <w:szCs w:val="24"/>
        </w:rPr>
        <w:t xml:space="preserve"> (3,8%), </w:t>
      </w:r>
      <w:r>
        <w:rPr>
          <w:rFonts w:cs="Times New Roman" w:ascii="Times New Roman" w:hAnsi="Times New Roman"/>
          <w:i/>
          <w:sz w:val="24"/>
          <w:szCs w:val="24"/>
        </w:rPr>
        <w:t>de amigos</w:t>
      </w:r>
      <w:r>
        <w:rPr>
          <w:rFonts w:cs="Times New Roman" w:ascii="Times New Roman" w:hAnsi="Times New Roman"/>
          <w:sz w:val="24"/>
          <w:szCs w:val="24"/>
        </w:rPr>
        <w:t xml:space="preserve"> (2,5%), </w:t>
      </w:r>
      <w:r>
        <w:rPr>
          <w:rFonts w:cs="Times New Roman" w:ascii="Times New Roman" w:hAnsi="Times New Roman"/>
          <w:i/>
          <w:sz w:val="24"/>
          <w:szCs w:val="24"/>
        </w:rPr>
        <w:t>do próprio</w:t>
      </w:r>
      <w:r>
        <w:rPr>
          <w:rFonts w:cs="Times New Roman" w:ascii="Times New Roman" w:hAnsi="Times New Roman"/>
          <w:sz w:val="24"/>
          <w:szCs w:val="24"/>
        </w:rPr>
        <w:t xml:space="preserve"> </w:t>
      </w:r>
      <w:r>
        <w:rPr>
          <w:rFonts w:cs="Times New Roman" w:ascii="Times New Roman" w:hAnsi="Times New Roman"/>
          <w:i/>
          <w:sz w:val="24"/>
          <w:szCs w:val="24"/>
        </w:rPr>
        <w:t>ambiente escolar</w:t>
      </w:r>
      <w:r>
        <w:rPr>
          <w:rFonts w:cs="Times New Roman" w:ascii="Times New Roman" w:hAnsi="Times New Roman"/>
          <w:sz w:val="24"/>
          <w:szCs w:val="24"/>
        </w:rPr>
        <w:t xml:space="preserve"> (2,3%) e outras ainda menos relevantes.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22 – De onde vieram os principais incentivos para o seu estudo (primeira opção)</w:t>
      </w:r>
    </w:p>
    <w:p>
      <w:pPr>
        <w:pStyle w:val="Normal"/>
        <w:spacing w:lineRule="auto" w:line="360" w:before="0" w:after="0"/>
        <w:jc w:val="center"/>
        <w:rPr>
          <w:rFonts w:ascii="Times New Roman" w:hAnsi="Times New Roman" w:cs="Times New Roman"/>
          <w:sz w:val="24"/>
          <w:szCs w:val="24"/>
        </w:rPr>
      </w:pPr>
      <w:r>
        <w:rPr/>
        <w:drawing>
          <wp:inline distT="0" distB="0" distL="0" distR="0">
            <wp:extent cx="4182745" cy="2345690"/>
            <wp:effectExtent l="0" t="0" r="0" b="0"/>
            <wp:docPr id="3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Normal"/>
        <w:spacing w:lineRule="auto" w:line="240" w:before="0" w:after="0"/>
        <w:ind w:left="708"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De modo a se acercar melhor sobre como se coloca a relação entre escola e trabalho para os trabalhadores de TI da RMR, os entrevistados foram perguntados sobre quando começou a trabalhar, ao que se lhes foram disponibilizadas 4 opções: </w:t>
      </w:r>
      <w:r>
        <w:rPr>
          <w:rFonts w:cs="Times New Roman" w:ascii="Times New Roman" w:hAnsi="Times New Roman"/>
          <w:i/>
          <w:sz w:val="24"/>
          <w:szCs w:val="24"/>
        </w:rPr>
        <w:t>durante ou ao término do ensino médio/técnico</w:t>
      </w:r>
      <w:r>
        <w:rPr>
          <w:rFonts w:cs="Times New Roman" w:ascii="Times New Roman" w:hAnsi="Times New Roman"/>
          <w:sz w:val="24"/>
          <w:szCs w:val="24"/>
        </w:rPr>
        <w:t xml:space="preserve">, </w:t>
      </w:r>
      <w:r>
        <w:rPr>
          <w:rFonts w:cs="Times New Roman" w:ascii="Times New Roman" w:hAnsi="Times New Roman"/>
          <w:i/>
          <w:sz w:val="24"/>
          <w:szCs w:val="24"/>
        </w:rPr>
        <w:t>durante o ensino superior</w:t>
      </w:r>
      <w:r>
        <w:rPr>
          <w:rFonts w:cs="Times New Roman" w:ascii="Times New Roman" w:hAnsi="Times New Roman"/>
          <w:sz w:val="24"/>
          <w:szCs w:val="24"/>
        </w:rPr>
        <w:t xml:space="preserve">, </w:t>
      </w:r>
      <w:r>
        <w:rPr>
          <w:rFonts w:cs="Times New Roman" w:ascii="Times New Roman" w:hAnsi="Times New Roman"/>
          <w:i/>
          <w:sz w:val="24"/>
          <w:szCs w:val="24"/>
        </w:rPr>
        <w:t>durante ou ao término do ensino fundamental</w:t>
      </w:r>
      <w:r>
        <w:rPr>
          <w:rFonts w:cs="Times New Roman" w:ascii="Times New Roman" w:hAnsi="Times New Roman"/>
          <w:sz w:val="24"/>
          <w:szCs w:val="24"/>
        </w:rPr>
        <w:t xml:space="preserve"> e </w:t>
      </w:r>
      <w:r>
        <w:rPr>
          <w:rFonts w:cs="Times New Roman" w:ascii="Times New Roman" w:hAnsi="Times New Roman"/>
          <w:i/>
          <w:sz w:val="24"/>
          <w:szCs w:val="24"/>
        </w:rPr>
        <w:t>após ser graduado/a</w:t>
      </w:r>
      <w:r>
        <w:rPr>
          <w:rFonts w:cs="Times New Roman" w:ascii="Times New Roman" w:hAnsi="Times New Roman"/>
          <w:sz w:val="24"/>
          <w:szCs w:val="24"/>
        </w:rPr>
        <w:t xml:space="preserve">. No Gráfico 23 constam as respostas: 44,4%, 41,9%, 9,6% e 4,1%. Duas conclusões mais importantes: a esmagadora maioria (86,3) entrou no mercado de trabalho enquanto cursava o </w:t>
      </w:r>
      <w:r>
        <w:rPr>
          <w:rFonts w:cs="Times New Roman" w:ascii="Times New Roman" w:hAnsi="Times New Roman"/>
          <w:i/>
          <w:sz w:val="24"/>
          <w:szCs w:val="24"/>
        </w:rPr>
        <w:t>ensino médio</w:t>
      </w:r>
      <w:r>
        <w:rPr>
          <w:rFonts w:cs="Times New Roman" w:ascii="Times New Roman" w:hAnsi="Times New Roman"/>
          <w:sz w:val="24"/>
          <w:szCs w:val="24"/>
        </w:rPr>
        <w:t xml:space="preserve"> ou o </w:t>
      </w:r>
      <w:r>
        <w:rPr>
          <w:rFonts w:cs="Times New Roman" w:ascii="Times New Roman" w:hAnsi="Times New Roman"/>
          <w:i/>
          <w:sz w:val="24"/>
          <w:szCs w:val="24"/>
        </w:rPr>
        <w:t>ensino superio</w:t>
      </w:r>
      <w:r>
        <w:rPr>
          <w:rFonts w:cs="Times New Roman" w:ascii="Times New Roman" w:hAnsi="Times New Roman"/>
          <w:sz w:val="24"/>
          <w:szCs w:val="24"/>
        </w:rPr>
        <w:t xml:space="preserve">r; um percentual muito expressivo (46%) ingressou durante ou ao término do </w:t>
      </w:r>
      <w:r>
        <w:rPr>
          <w:rFonts w:cs="Times New Roman" w:ascii="Times New Roman" w:hAnsi="Times New Roman"/>
          <w:i/>
          <w:sz w:val="24"/>
          <w:szCs w:val="24"/>
        </w:rPr>
        <w:t>ensino superior</w:t>
      </w:r>
      <w:r>
        <w:rPr>
          <w:rFonts w:cs="Times New Roman" w:ascii="Times New Roman" w:hAnsi="Times New Roman"/>
          <w:sz w:val="24"/>
          <w:szCs w:val="24"/>
        </w:rPr>
        <w:t xml:space="preserve">; a maioria (54%) ingressou durante ou ao término do </w:t>
      </w:r>
      <w:r>
        <w:rPr>
          <w:rFonts w:cs="Times New Roman" w:ascii="Times New Roman" w:hAnsi="Times New Roman"/>
          <w:i/>
          <w:sz w:val="24"/>
          <w:szCs w:val="24"/>
        </w:rPr>
        <w:t>ensino fundamental</w:t>
      </w:r>
      <w:r>
        <w:rPr>
          <w:rFonts w:cs="Times New Roman" w:ascii="Times New Roman" w:hAnsi="Times New Roman"/>
          <w:sz w:val="24"/>
          <w:szCs w:val="24"/>
        </w:rPr>
        <w:t xml:space="preserve"> ou </w:t>
      </w:r>
      <w:r>
        <w:rPr>
          <w:rFonts w:cs="Times New Roman" w:ascii="Times New Roman" w:hAnsi="Times New Roman"/>
          <w:i/>
          <w:sz w:val="24"/>
          <w:szCs w:val="24"/>
        </w:rPr>
        <w:t>médio/técnico</w:t>
      </w:r>
      <w:r>
        <w:rPr>
          <w:rFonts w:cs="Times New Roman" w:ascii="Times New Roman" w:hAnsi="Times New Roman"/>
          <w:sz w:val="24"/>
          <w:szCs w:val="24"/>
        </w:rPr>
        <w:t>.</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23 – Quando começou a trabalhar</w:t>
      </w:r>
    </w:p>
    <w:p>
      <w:pPr>
        <w:pStyle w:val="Normal"/>
        <w:spacing w:lineRule="auto" w:line="360" w:before="0" w:after="0"/>
        <w:jc w:val="center"/>
        <w:rPr>
          <w:rFonts w:ascii="Times New Roman" w:hAnsi="Times New Roman" w:cs="Times New Roman"/>
          <w:sz w:val="24"/>
          <w:szCs w:val="24"/>
        </w:rPr>
      </w:pPr>
      <w:r>
        <w:rPr/>
        <w:drawing>
          <wp:inline distT="0" distB="0" distL="0" distR="0">
            <wp:extent cx="3813810" cy="1945640"/>
            <wp:effectExtent l="0" t="0" r="0" b="0"/>
            <wp:docPr id="3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Normal"/>
        <w:spacing w:lineRule="auto" w:line="240" w:before="0" w:after="0"/>
        <w:ind w:left="708"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Seguindo no tema da relação escola e trabalho, aos entrevistados foi perguntado sobre o que ocorreu com os estudos </w:t>
      </w:r>
      <w:r>
        <w:rPr>
          <w:rFonts w:cs="Times New Roman" w:ascii="Times New Roman" w:hAnsi="Times New Roman"/>
          <w:i/>
          <w:sz w:val="24"/>
          <w:szCs w:val="24"/>
        </w:rPr>
        <w:t>depois que começou a trabalhar</w:t>
      </w:r>
      <w:r>
        <w:rPr>
          <w:rFonts w:cs="Times New Roman" w:ascii="Times New Roman" w:hAnsi="Times New Roman"/>
          <w:sz w:val="24"/>
          <w:szCs w:val="24"/>
        </w:rPr>
        <w:t xml:space="preserve">. A esmagadora maioria declarou que </w:t>
      </w:r>
      <w:r>
        <w:rPr>
          <w:rFonts w:cs="Times New Roman" w:ascii="Times New Roman" w:hAnsi="Times New Roman"/>
          <w:i/>
          <w:sz w:val="24"/>
          <w:szCs w:val="24"/>
        </w:rPr>
        <w:t>continuou os estudos</w:t>
      </w:r>
      <w:r>
        <w:rPr>
          <w:rFonts w:cs="Times New Roman" w:ascii="Times New Roman" w:hAnsi="Times New Roman"/>
          <w:sz w:val="24"/>
          <w:szCs w:val="24"/>
        </w:rPr>
        <w:t xml:space="preserve"> (84,8%), ao que deve se somar uma outra porção (7,6%) que informou ter </w:t>
      </w:r>
      <w:r>
        <w:rPr>
          <w:rFonts w:cs="Times New Roman" w:ascii="Times New Roman" w:hAnsi="Times New Roman"/>
          <w:i/>
          <w:sz w:val="24"/>
          <w:szCs w:val="24"/>
        </w:rPr>
        <w:t>saído da escola e retomado os estudos depois</w:t>
      </w:r>
      <w:r>
        <w:rPr>
          <w:rFonts w:cs="Times New Roman" w:ascii="Times New Roman" w:hAnsi="Times New Roman"/>
          <w:sz w:val="24"/>
          <w:szCs w:val="24"/>
        </w:rPr>
        <w:t xml:space="preserve"> (totalizando 92,4%). Apenas </w:t>
      </w:r>
      <w:r>
        <w:rPr>
          <w:rFonts w:cs="Times New Roman" w:ascii="Times New Roman" w:hAnsi="Times New Roman"/>
          <w:color w:val="000000" w:themeColor="text1"/>
          <w:sz w:val="24"/>
          <w:szCs w:val="24"/>
        </w:rPr>
        <w:t xml:space="preserve">5.3% </w:t>
      </w:r>
      <w:r>
        <w:rPr>
          <w:rFonts w:cs="Times New Roman" w:ascii="Times New Roman" w:hAnsi="Times New Roman"/>
          <w:sz w:val="24"/>
          <w:szCs w:val="24"/>
        </w:rPr>
        <w:t>saiu da escola e nunca mais voltou a estudar. Trata-se de um segmento que, com dados como este, não apenas desenvolve uma atividade profissional com forte associação com um relativamente elevado nível de escolaridade (conforme já visto antes), como se mostra muito vinculado a uma contínua formação escolar.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24 – Depois que começou a trabalhar</w:t>
      </w:r>
    </w:p>
    <w:p>
      <w:pPr>
        <w:pStyle w:val="Normal"/>
        <w:spacing w:lineRule="auto" w:line="240" w:before="0" w:after="0"/>
        <w:jc w:val="center"/>
        <w:rPr>
          <w:rFonts w:ascii="Times New Roman" w:hAnsi="Times New Roman" w:cs="Times New Roman"/>
          <w:sz w:val="24"/>
          <w:szCs w:val="24"/>
        </w:rPr>
      </w:pPr>
      <w:r>
        <w:rPr/>
        <w:drawing>
          <wp:inline distT="0" distB="0" distL="0" distR="0">
            <wp:extent cx="3729355" cy="3487420"/>
            <wp:effectExtent l="0" t="0" r="0" b="0"/>
            <wp:docPr id="3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Perguntados sobre </w:t>
      </w:r>
      <w:r>
        <w:rPr>
          <w:rFonts w:cs="Times New Roman" w:ascii="Times New Roman" w:hAnsi="Times New Roman"/>
          <w:i/>
          <w:sz w:val="24"/>
          <w:szCs w:val="24"/>
        </w:rPr>
        <w:t>onde teve sua formação técnica em TI</w:t>
      </w:r>
      <w:r>
        <w:rPr>
          <w:rFonts w:cs="Times New Roman" w:ascii="Times New Roman" w:hAnsi="Times New Roman"/>
          <w:sz w:val="24"/>
          <w:szCs w:val="24"/>
        </w:rPr>
        <w:t xml:space="preserve">, apenas 21,5% declarou que </w:t>
      </w:r>
      <w:r>
        <w:rPr>
          <w:rFonts w:cs="Times New Roman" w:ascii="Times New Roman" w:hAnsi="Times New Roman"/>
          <w:i/>
          <w:sz w:val="24"/>
          <w:szCs w:val="24"/>
        </w:rPr>
        <w:t>não tinha formação em TI</w:t>
      </w:r>
      <w:r>
        <w:rPr>
          <w:rFonts w:cs="Times New Roman" w:ascii="Times New Roman" w:hAnsi="Times New Roman"/>
          <w:sz w:val="24"/>
          <w:szCs w:val="24"/>
        </w:rPr>
        <w:t xml:space="preserve">. Para todos os demais (78,5%), sim. A maior parte destes (48,3% </w:t>
      </w:r>
      <w:r>
        <w:rPr>
          <w:rFonts w:cs="Times New Roman" w:ascii="Times New Roman" w:hAnsi="Times New Roman"/>
          <w:color w:val="000000" w:themeColor="text1"/>
          <w:sz w:val="24"/>
          <w:szCs w:val="24"/>
        </w:rPr>
        <w:t xml:space="preserve">de todos os </w:t>
      </w:r>
      <w:r>
        <w:rPr>
          <w:rFonts w:cs="Times New Roman" w:ascii="Times New Roman" w:hAnsi="Times New Roman"/>
          <w:sz w:val="24"/>
          <w:szCs w:val="24"/>
        </w:rPr>
        <w:t xml:space="preserve">respondentes) informou que tal formação foi obtida no </w:t>
      </w:r>
      <w:r>
        <w:rPr>
          <w:rFonts w:cs="Times New Roman" w:ascii="Times New Roman" w:hAnsi="Times New Roman"/>
          <w:i/>
          <w:sz w:val="24"/>
          <w:szCs w:val="24"/>
        </w:rPr>
        <w:t>ensino superior completo</w:t>
      </w:r>
      <w:r>
        <w:rPr>
          <w:rFonts w:cs="Times New Roman" w:ascii="Times New Roman" w:hAnsi="Times New Roman"/>
          <w:sz w:val="24"/>
          <w:szCs w:val="24"/>
        </w:rPr>
        <w:t xml:space="preserve"> e outros 15,7%, no </w:t>
      </w:r>
      <w:r>
        <w:rPr>
          <w:rFonts w:cs="Times New Roman" w:ascii="Times New Roman" w:hAnsi="Times New Roman"/>
          <w:i/>
          <w:sz w:val="24"/>
          <w:szCs w:val="24"/>
        </w:rPr>
        <w:t>ensino técnico</w:t>
      </w:r>
      <w:r>
        <w:rPr>
          <w:rFonts w:cs="Times New Roman" w:ascii="Times New Roman" w:hAnsi="Times New Roman"/>
          <w:sz w:val="24"/>
          <w:szCs w:val="24"/>
        </w:rPr>
        <w:t xml:space="preserve"> e 5,1%, em curso profissionalizante. Confirma-se, assim, também com essa informação, o caráter elevado da formação escolar e profissional desse segmento de trabalhadores. Um detalhe a destacar: o percentual de autodidatas apresentou-se como irrisório, o que demonstra a importância da diplomação e certificação escolar para o setor.</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25 – Onde teve sua formação técnica em TI</w:t>
      </w:r>
    </w:p>
    <w:p>
      <w:pPr>
        <w:pStyle w:val="Normal"/>
        <w:spacing w:lineRule="auto" w:line="360" w:before="0" w:after="0"/>
        <w:ind w:firstLine="567"/>
        <w:jc w:val="both"/>
        <w:rPr>
          <w:rFonts w:ascii="Times New Roman" w:hAnsi="Times New Roman" w:cs="Times New Roman"/>
          <w:sz w:val="24"/>
          <w:szCs w:val="24"/>
        </w:rPr>
      </w:pPr>
      <w:r>
        <w:rPr/>
        <w:drawing>
          <wp:inline distT="0" distB="0" distL="0" distR="0">
            <wp:extent cx="4572000" cy="2616200"/>
            <wp:effectExtent l="0" t="0" r="0" b="0"/>
            <wp:docPr id="3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Normal"/>
        <w:spacing w:lineRule="auto" w:line="240" w:before="0" w:after="0"/>
        <w:ind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Os entrevistados foram ainda submetidos a uma outra questão relacionada à sua formação profissional. Perguntou-se se o entrevistado estava na ocasião </w:t>
      </w:r>
      <w:r>
        <w:rPr>
          <w:rFonts w:cs="Times New Roman" w:ascii="Times New Roman" w:hAnsi="Times New Roman"/>
          <w:i/>
          <w:sz w:val="24"/>
          <w:szCs w:val="24"/>
        </w:rPr>
        <w:t>fazendo algum curso na área de TI</w:t>
      </w:r>
      <w:r>
        <w:rPr>
          <w:rFonts w:cs="Times New Roman" w:ascii="Times New Roman" w:hAnsi="Times New Roman"/>
          <w:sz w:val="24"/>
          <w:szCs w:val="24"/>
        </w:rPr>
        <w:t xml:space="preserve">. Interessante constatar (ver Gráfico 26) que uma ampla maioria declarou que não (69,1%), sendo que 45,9% admitiram que </w:t>
      </w:r>
      <w:r>
        <w:rPr>
          <w:rFonts w:cs="Times New Roman" w:ascii="Times New Roman" w:hAnsi="Times New Roman"/>
          <w:i/>
          <w:sz w:val="24"/>
          <w:szCs w:val="24"/>
        </w:rPr>
        <w:t>não planejam fazer no curto prazo</w:t>
      </w:r>
      <w:r>
        <w:rPr>
          <w:rFonts w:cs="Times New Roman" w:ascii="Times New Roman" w:hAnsi="Times New Roman"/>
          <w:sz w:val="24"/>
          <w:szCs w:val="24"/>
        </w:rPr>
        <w:t xml:space="preserve"> e 23,2% adiantaram que </w:t>
      </w:r>
      <w:r>
        <w:rPr>
          <w:rFonts w:cs="Times New Roman" w:ascii="Times New Roman" w:hAnsi="Times New Roman"/>
          <w:i/>
          <w:sz w:val="24"/>
          <w:szCs w:val="24"/>
        </w:rPr>
        <w:t>planejam fazê-lo no curto prazo</w:t>
      </w:r>
      <w:r>
        <w:rPr>
          <w:rFonts w:cs="Times New Roman" w:ascii="Times New Roman" w:hAnsi="Times New Roman"/>
          <w:sz w:val="24"/>
          <w:szCs w:val="24"/>
        </w:rPr>
        <w:t xml:space="preserve">. Entre os que disseram que estavam fazendo algum curso, 13,4% informaram que se tratava de </w:t>
      </w:r>
      <w:r>
        <w:rPr>
          <w:rFonts w:cs="Times New Roman" w:ascii="Times New Roman" w:hAnsi="Times New Roman"/>
          <w:i/>
          <w:sz w:val="24"/>
          <w:szCs w:val="24"/>
        </w:rPr>
        <w:t>graduação</w:t>
      </w:r>
      <w:r>
        <w:rPr>
          <w:rFonts w:cs="Times New Roman" w:ascii="Times New Roman" w:hAnsi="Times New Roman"/>
          <w:sz w:val="24"/>
          <w:szCs w:val="24"/>
        </w:rPr>
        <w:t xml:space="preserve">, 7,3% de </w:t>
      </w:r>
      <w:r>
        <w:rPr>
          <w:rFonts w:cs="Times New Roman" w:ascii="Times New Roman" w:hAnsi="Times New Roman"/>
          <w:i/>
          <w:sz w:val="24"/>
          <w:szCs w:val="24"/>
        </w:rPr>
        <w:t>pós-graduação</w:t>
      </w:r>
      <w:r>
        <w:rPr>
          <w:rFonts w:cs="Times New Roman" w:ascii="Times New Roman" w:hAnsi="Times New Roman"/>
          <w:sz w:val="24"/>
          <w:szCs w:val="24"/>
        </w:rPr>
        <w:t xml:space="preserve">, 3,5% de </w:t>
      </w:r>
      <w:r>
        <w:rPr>
          <w:rFonts w:cs="Times New Roman" w:ascii="Times New Roman" w:hAnsi="Times New Roman"/>
          <w:i/>
          <w:sz w:val="24"/>
          <w:szCs w:val="24"/>
        </w:rPr>
        <w:t>curso técnico-médio</w:t>
      </w:r>
      <w:r>
        <w:rPr>
          <w:rFonts w:cs="Times New Roman" w:ascii="Times New Roman" w:hAnsi="Times New Roman"/>
          <w:sz w:val="24"/>
          <w:szCs w:val="24"/>
        </w:rPr>
        <w:t xml:space="preserve"> e 6,6% de </w:t>
      </w:r>
      <w:r>
        <w:rPr>
          <w:rFonts w:cs="Times New Roman" w:ascii="Times New Roman" w:hAnsi="Times New Roman"/>
          <w:i/>
          <w:sz w:val="24"/>
          <w:szCs w:val="24"/>
        </w:rPr>
        <w:t>curso de capacitação desvinculado da formação escolar</w:t>
      </w:r>
      <w:r>
        <w:rPr>
          <w:rFonts w:cs="Times New Roman" w:ascii="Times New Roman" w:hAnsi="Times New Roman"/>
          <w:sz w:val="24"/>
          <w:szCs w:val="24"/>
        </w:rPr>
        <w:t>.</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26 – Está fazendo algum curso na área de TI</w:t>
      </w:r>
    </w:p>
    <w:p>
      <w:pPr>
        <w:pStyle w:val="Normal"/>
        <w:spacing w:lineRule="auto" w:line="360" w:before="0" w:after="0"/>
        <w:ind w:firstLine="567"/>
        <w:jc w:val="both"/>
        <w:rPr>
          <w:rFonts w:ascii="Times New Roman" w:hAnsi="Times New Roman" w:cs="Times New Roman"/>
          <w:sz w:val="24"/>
          <w:szCs w:val="24"/>
        </w:rPr>
      </w:pPr>
      <w:r>
        <w:rPr/>
        <w:drawing>
          <wp:inline distT="0" distB="0" distL="0" distR="0">
            <wp:extent cx="4572000" cy="2552700"/>
            <wp:effectExtent l="0" t="0" r="0" b="0"/>
            <wp:docPr id="3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Normal"/>
        <w:spacing w:lineRule="auto" w:line="240" w:before="0" w:after="0"/>
        <w:ind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Para finalizar o tema </w:t>
      </w:r>
      <w:r>
        <w:rPr>
          <w:rFonts w:cs="Times New Roman" w:ascii="Times New Roman" w:hAnsi="Times New Roman"/>
          <w:i/>
          <w:sz w:val="24"/>
          <w:szCs w:val="24"/>
        </w:rPr>
        <w:t>escola</w:t>
      </w:r>
      <w:r>
        <w:rPr>
          <w:rFonts w:cs="Times New Roman" w:ascii="Times New Roman" w:hAnsi="Times New Roman"/>
          <w:sz w:val="24"/>
          <w:szCs w:val="24"/>
        </w:rPr>
        <w:t xml:space="preserve"> e para continuar perscrutando sobre os valores que povoam o imaginário dos trabalhadores de TI da RMR, foi perguntado aos entrevistados sobre os </w:t>
      </w:r>
      <w:r>
        <w:rPr>
          <w:rFonts w:cs="Times New Roman" w:ascii="Times New Roman" w:hAnsi="Times New Roman"/>
          <w:i/>
          <w:sz w:val="24"/>
          <w:szCs w:val="24"/>
        </w:rPr>
        <w:t>principais valores que devem orientar a educação escolar</w:t>
      </w:r>
      <w:r>
        <w:rPr>
          <w:rFonts w:cs="Times New Roman" w:ascii="Times New Roman" w:hAnsi="Times New Roman"/>
          <w:sz w:val="24"/>
          <w:szCs w:val="24"/>
        </w:rPr>
        <w:t xml:space="preserve">. Foram oferecidas 5 opções, mais a alternativa “outra”, ao que se pediu que escolhessem até duas, sem estabelecer ordenamento. Ao final foram contabilizadas 1.146 respostas (94,87% do máximo de 1.208 possíveis). Antes, quando perguntados sobre, </w:t>
      </w:r>
      <w:r>
        <w:rPr>
          <w:rFonts w:cs="Times New Roman" w:ascii="Times New Roman" w:hAnsi="Times New Roman"/>
          <w:i/>
          <w:sz w:val="24"/>
          <w:szCs w:val="24"/>
        </w:rPr>
        <w:t>na família de origem, onde havia sido ensinado a buscar os valores mais virtuosos</w:t>
      </w:r>
      <w:r>
        <w:rPr>
          <w:rFonts w:cs="Times New Roman" w:ascii="Times New Roman" w:hAnsi="Times New Roman"/>
          <w:sz w:val="24"/>
          <w:szCs w:val="24"/>
        </w:rPr>
        <w:t>, na primeira opção, 79,5%</w:t>
      </w:r>
      <w:r>
        <w:rPr>
          <w:rFonts w:cs="Times New Roman" w:ascii="Times New Roman" w:hAnsi="Times New Roman"/>
          <w:color w:val="000000"/>
          <w:sz w:val="18"/>
          <w:szCs w:val="18"/>
        </w:rPr>
        <w:t xml:space="preserve"> </w:t>
      </w:r>
      <w:r>
        <w:rPr>
          <w:rFonts w:cs="Times New Roman" w:ascii="Times New Roman" w:hAnsi="Times New Roman"/>
          <w:sz w:val="24"/>
          <w:szCs w:val="24"/>
        </w:rPr>
        <w:t xml:space="preserve">responderam </w:t>
      </w:r>
      <w:r>
        <w:rPr>
          <w:rFonts w:cs="Times New Roman" w:ascii="Times New Roman" w:hAnsi="Times New Roman"/>
          <w:i/>
          <w:sz w:val="24"/>
          <w:szCs w:val="24"/>
        </w:rPr>
        <w:t>na própria família.</w:t>
      </w:r>
      <w:r>
        <w:rPr>
          <w:rFonts w:cs="Times New Roman" w:ascii="Times New Roman" w:hAnsi="Times New Roman"/>
          <w:sz w:val="24"/>
          <w:szCs w:val="24"/>
        </w:rPr>
        <w:t xml:space="preserve"> Agora, perguntados sobre os valores que devem guiar prioritariamente a educação escolar, 37,4% das respostas citaram </w:t>
      </w:r>
      <w:r>
        <w:rPr>
          <w:rFonts w:cs="Times New Roman" w:ascii="Times New Roman" w:hAnsi="Times New Roman"/>
          <w:i/>
          <w:sz w:val="24"/>
          <w:szCs w:val="24"/>
        </w:rPr>
        <w:t>os valores centrados na família</w:t>
      </w:r>
      <w:r>
        <w:rPr>
          <w:rFonts w:cs="Times New Roman" w:ascii="Times New Roman" w:hAnsi="Times New Roman"/>
          <w:sz w:val="24"/>
          <w:szCs w:val="24"/>
        </w:rPr>
        <w:t xml:space="preserve">. Em um segundo plano, apareceram ainda as citações dos </w:t>
      </w:r>
      <w:r>
        <w:rPr>
          <w:rFonts w:cs="Times New Roman" w:ascii="Times New Roman" w:hAnsi="Times New Roman"/>
          <w:i/>
          <w:sz w:val="24"/>
          <w:szCs w:val="24"/>
        </w:rPr>
        <w:t>valores centrados no civismo e na cidadania</w:t>
      </w:r>
      <w:r>
        <w:rPr>
          <w:rFonts w:cs="Times New Roman" w:ascii="Times New Roman" w:hAnsi="Times New Roman"/>
          <w:sz w:val="24"/>
          <w:szCs w:val="24"/>
        </w:rPr>
        <w:t xml:space="preserve"> (27,7%) e </w:t>
      </w:r>
      <w:r>
        <w:rPr>
          <w:rFonts w:cs="Times New Roman" w:ascii="Times New Roman" w:hAnsi="Times New Roman"/>
          <w:i/>
          <w:sz w:val="24"/>
          <w:szCs w:val="24"/>
        </w:rPr>
        <w:t>na ciência e na tecnologia</w:t>
      </w:r>
      <w:r>
        <w:rPr>
          <w:rFonts w:cs="Times New Roman" w:ascii="Times New Roman" w:hAnsi="Times New Roman"/>
          <w:sz w:val="24"/>
          <w:szCs w:val="24"/>
        </w:rPr>
        <w:t xml:space="preserve"> (21,6%). Seguiram em quarto lugar os valores centrados no mundo dos negócios (7,2%). Juntos, estes últimos (civismo/cidadania, ciência/tecnologia e também mundo dos negócios), somando 56,5%, podem atuar como um contraponto aos valores de índole mais tradicional/conservadora, a exemplo dos valores centrados na família e na religião, que somados atingiram 42,7%. É significativo que, nessa matéria, os valores religiosos tenham aparecido com posição muito pouco expressiva (5,3% das respostas). Ver Gráfico 27.</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27 – Principais valores que devem orientar a educação escolar</w:t>
      </w:r>
    </w:p>
    <w:p>
      <w:pPr>
        <w:pStyle w:val="Normal"/>
        <w:spacing w:lineRule="auto" w:line="360" w:before="0" w:after="0"/>
        <w:jc w:val="center"/>
        <w:rPr>
          <w:rFonts w:ascii="Times New Roman" w:hAnsi="Times New Roman" w:cs="Times New Roman"/>
          <w:sz w:val="24"/>
          <w:szCs w:val="24"/>
        </w:rPr>
      </w:pPr>
      <w:r>
        <w:rPr/>
        <w:drawing>
          <wp:inline distT="0" distB="0" distL="0" distR="0">
            <wp:extent cx="3365500" cy="2201545"/>
            <wp:effectExtent l="0" t="0" r="0" b="0"/>
            <wp:docPr id="3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b/>
          <w:b/>
          <w:sz w:val="24"/>
          <w:szCs w:val="24"/>
        </w:rPr>
      </w:pPr>
      <w:r>
        <w:rPr>
          <w:rFonts w:cs="Times New Roman" w:ascii="Times New Roman" w:hAnsi="Times New Roman"/>
          <w:b/>
          <w:sz w:val="24"/>
          <w:szCs w:val="24"/>
        </w:rPr>
        <w:t>2.5. Religião</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Seguindo com a construção do perfil socioprofissional dos trabalhadores de TI na RMR, passamos a tratar do tema da </w:t>
      </w:r>
      <w:r>
        <w:rPr>
          <w:rFonts w:cs="Times New Roman" w:ascii="Times New Roman" w:hAnsi="Times New Roman"/>
          <w:i/>
          <w:sz w:val="24"/>
          <w:szCs w:val="24"/>
        </w:rPr>
        <w:t>religião</w:t>
      </w:r>
      <w:r>
        <w:rPr>
          <w:rFonts w:cs="Times New Roman" w:ascii="Times New Roman" w:hAnsi="Times New Roman"/>
          <w:sz w:val="24"/>
          <w:szCs w:val="24"/>
        </w:rPr>
        <w:t xml:space="preserve">. Este que vem tendo destacada importância no contexto atual, seja no campo político, comportamental ou cultural. Quisemos apreender como </w:t>
      </w:r>
      <w:r>
        <w:rPr>
          <w:rFonts w:cs="Times New Roman" w:ascii="Times New Roman" w:hAnsi="Times New Roman"/>
          <w:i/>
          <w:sz w:val="24"/>
          <w:szCs w:val="24"/>
        </w:rPr>
        <w:t>trabalho</w:t>
      </w:r>
      <w:r>
        <w:rPr>
          <w:rFonts w:cs="Times New Roman" w:ascii="Times New Roman" w:hAnsi="Times New Roman"/>
          <w:sz w:val="24"/>
          <w:szCs w:val="24"/>
        </w:rPr>
        <w:t xml:space="preserve"> e </w:t>
      </w:r>
      <w:r>
        <w:rPr>
          <w:rFonts w:cs="Times New Roman" w:ascii="Times New Roman" w:hAnsi="Times New Roman"/>
          <w:i/>
          <w:sz w:val="24"/>
          <w:szCs w:val="24"/>
        </w:rPr>
        <w:t>religião</w:t>
      </w:r>
      <w:r>
        <w:rPr>
          <w:rFonts w:cs="Times New Roman" w:ascii="Times New Roman" w:hAnsi="Times New Roman"/>
          <w:sz w:val="24"/>
          <w:szCs w:val="24"/>
        </w:rPr>
        <w:t xml:space="preserve"> se associam na vida desses segmentos de trabalhadores. A primeira pergunta versou sobre </w:t>
      </w:r>
      <w:r>
        <w:rPr>
          <w:rFonts w:cs="Times New Roman" w:ascii="Times New Roman" w:hAnsi="Times New Roman"/>
          <w:i/>
          <w:sz w:val="24"/>
          <w:szCs w:val="24"/>
        </w:rPr>
        <w:t>qual religião ou culto professa</w:t>
      </w:r>
      <w:r>
        <w:rPr>
          <w:rFonts w:cs="Times New Roman" w:ascii="Times New Roman" w:hAnsi="Times New Roman"/>
          <w:sz w:val="24"/>
          <w:szCs w:val="24"/>
        </w:rPr>
        <w:t xml:space="preserve">. Embora a religião </w:t>
      </w:r>
      <w:r>
        <w:rPr>
          <w:rFonts w:cs="Times New Roman" w:ascii="Times New Roman" w:hAnsi="Times New Roman"/>
          <w:i/>
          <w:sz w:val="24"/>
          <w:szCs w:val="24"/>
        </w:rPr>
        <w:t>católica</w:t>
      </w:r>
      <w:r>
        <w:rPr>
          <w:rFonts w:cs="Times New Roman" w:ascii="Times New Roman" w:hAnsi="Times New Roman"/>
          <w:sz w:val="24"/>
          <w:szCs w:val="24"/>
        </w:rPr>
        <w:t xml:space="preserve"> (39,9%) tenha aparecido em primeiro lugar, foi surpreendente ter em segundo a opção </w:t>
      </w:r>
      <w:r>
        <w:rPr>
          <w:rFonts w:cs="Times New Roman" w:ascii="Times New Roman" w:hAnsi="Times New Roman"/>
          <w:i/>
          <w:sz w:val="24"/>
          <w:szCs w:val="24"/>
        </w:rPr>
        <w:t>sem religião</w:t>
      </w:r>
      <w:r>
        <w:rPr>
          <w:rFonts w:cs="Times New Roman" w:ascii="Times New Roman" w:hAnsi="Times New Roman"/>
          <w:sz w:val="24"/>
          <w:szCs w:val="24"/>
        </w:rPr>
        <w:t xml:space="preserve"> (28,8%). A terceira posição ficou com a religião </w:t>
      </w:r>
      <w:r>
        <w:rPr>
          <w:rFonts w:cs="Times New Roman" w:ascii="Times New Roman" w:hAnsi="Times New Roman"/>
          <w:i/>
          <w:sz w:val="24"/>
          <w:szCs w:val="24"/>
        </w:rPr>
        <w:t>evangélica</w:t>
      </w:r>
      <w:r>
        <w:rPr>
          <w:rFonts w:cs="Times New Roman" w:ascii="Times New Roman" w:hAnsi="Times New Roman"/>
          <w:sz w:val="24"/>
          <w:szCs w:val="24"/>
        </w:rPr>
        <w:t xml:space="preserve">, como era de se esperar, pelo crescimento que vem tendo no país inteiro há décadas (19,7%). Ainda com algum relevância apareceu a religião </w:t>
      </w:r>
      <w:r>
        <w:rPr>
          <w:rFonts w:cs="Times New Roman" w:ascii="Times New Roman" w:hAnsi="Times New Roman"/>
          <w:i/>
          <w:sz w:val="24"/>
          <w:szCs w:val="24"/>
        </w:rPr>
        <w:t>espírita</w:t>
      </w:r>
      <w:r>
        <w:rPr>
          <w:rFonts w:cs="Times New Roman" w:ascii="Times New Roman" w:hAnsi="Times New Roman"/>
          <w:sz w:val="24"/>
          <w:szCs w:val="24"/>
        </w:rPr>
        <w:t xml:space="preserve"> (8,6%). As demais se posicionaram com percentuais irrelevantes. Ver Gráfico 28.</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28 – Qual religião ou culto professa</w:t>
      </w:r>
    </w:p>
    <w:p>
      <w:pPr>
        <w:pStyle w:val="Normal"/>
        <w:spacing w:lineRule="auto" w:line="360" w:before="0" w:after="0"/>
        <w:ind w:firstLine="567"/>
        <w:jc w:val="center"/>
        <w:rPr>
          <w:rFonts w:ascii="Times New Roman" w:hAnsi="Times New Roman" w:cs="Times New Roman"/>
          <w:sz w:val="24"/>
          <w:szCs w:val="24"/>
        </w:rPr>
      </w:pPr>
      <w:r>
        <w:rPr/>
        <w:drawing>
          <wp:inline distT="0" distB="0" distL="0" distR="0">
            <wp:extent cx="4194810" cy="2514600"/>
            <wp:effectExtent l="0" t="0" r="0" b="0"/>
            <wp:docPr id="3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2.6. Vida Social e Amizade</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A opção </w:t>
      </w:r>
      <w:r>
        <w:rPr>
          <w:rFonts w:cs="Times New Roman" w:ascii="Times New Roman" w:hAnsi="Times New Roman"/>
          <w:i/>
          <w:sz w:val="24"/>
          <w:szCs w:val="24"/>
        </w:rPr>
        <w:t>no trabalho</w:t>
      </w:r>
      <w:r>
        <w:rPr>
          <w:rFonts w:cs="Times New Roman" w:ascii="Times New Roman" w:hAnsi="Times New Roman"/>
          <w:sz w:val="24"/>
          <w:szCs w:val="24"/>
        </w:rPr>
        <w:t xml:space="preserve"> despontou como a mais citada (35,7%), seguida de </w:t>
      </w:r>
      <w:r>
        <w:rPr>
          <w:rFonts w:cs="Times New Roman" w:ascii="Times New Roman" w:hAnsi="Times New Roman"/>
          <w:i/>
          <w:sz w:val="24"/>
          <w:szCs w:val="24"/>
        </w:rPr>
        <w:t>no ambiente familiar</w:t>
      </w:r>
      <w:r>
        <w:rPr>
          <w:rFonts w:cs="Times New Roman" w:ascii="Times New Roman" w:hAnsi="Times New Roman"/>
          <w:sz w:val="24"/>
          <w:szCs w:val="24"/>
        </w:rPr>
        <w:t xml:space="preserve"> (22,6%), </w:t>
      </w:r>
      <w:r>
        <w:rPr>
          <w:rFonts w:cs="Times New Roman" w:ascii="Times New Roman" w:hAnsi="Times New Roman"/>
          <w:i/>
          <w:sz w:val="24"/>
          <w:szCs w:val="24"/>
        </w:rPr>
        <w:t>no ambiente escolar</w:t>
      </w:r>
      <w:r>
        <w:rPr>
          <w:rFonts w:cs="Times New Roman" w:ascii="Times New Roman" w:hAnsi="Times New Roman"/>
          <w:sz w:val="24"/>
          <w:szCs w:val="24"/>
        </w:rPr>
        <w:t xml:space="preserve"> (9,2%), </w:t>
      </w:r>
      <w:r>
        <w:rPr>
          <w:rFonts w:cs="Times New Roman" w:ascii="Times New Roman" w:hAnsi="Times New Roman"/>
          <w:i/>
          <w:sz w:val="24"/>
          <w:szCs w:val="24"/>
        </w:rPr>
        <w:t>na vizinhança</w:t>
      </w:r>
      <w:r>
        <w:rPr>
          <w:rFonts w:cs="Times New Roman" w:ascii="Times New Roman" w:hAnsi="Times New Roman"/>
          <w:sz w:val="24"/>
          <w:szCs w:val="24"/>
        </w:rPr>
        <w:t xml:space="preserve"> (8,9%), </w:t>
      </w:r>
      <w:r>
        <w:rPr>
          <w:rFonts w:cs="Times New Roman" w:ascii="Times New Roman" w:hAnsi="Times New Roman"/>
          <w:i/>
          <w:sz w:val="24"/>
          <w:szCs w:val="24"/>
        </w:rPr>
        <w:t>nas redes sociais</w:t>
      </w:r>
      <w:r>
        <w:rPr>
          <w:rFonts w:cs="Times New Roman" w:ascii="Times New Roman" w:hAnsi="Times New Roman"/>
          <w:sz w:val="24"/>
          <w:szCs w:val="24"/>
        </w:rPr>
        <w:t xml:space="preserve"> (7,4%), </w:t>
      </w:r>
      <w:r>
        <w:rPr>
          <w:rFonts w:cs="Times New Roman" w:ascii="Times New Roman" w:hAnsi="Times New Roman"/>
          <w:i/>
          <w:sz w:val="24"/>
          <w:szCs w:val="24"/>
        </w:rPr>
        <w:t>nos ambientes ligados ao lazer</w:t>
      </w:r>
      <w:r>
        <w:rPr>
          <w:rFonts w:cs="Times New Roman" w:ascii="Times New Roman" w:hAnsi="Times New Roman"/>
          <w:sz w:val="24"/>
          <w:szCs w:val="24"/>
        </w:rPr>
        <w:t xml:space="preserve"> (7,1%) e outros menos relevantes. Chama a atenção, em primeiro lugar, que há uma dispersão nas respostas. Não se observou grande concentração em único um lugar, não obstante o destaque para o ambiente de trabalho. Outra observação é a de que a </w:t>
      </w:r>
      <w:r>
        <w:rPr>
          <w:rFonts w:cs="Times New Roman" w:ascii="Times New Roman" w:hAnsi="Times New Roman"/>
          <w:i/>
          <w:sz w:val="24"/>
          <w:szCs w:val="24"/>
        </w:rPr>
        <w:t>família</w:t>
      </w:r>
      <w:r>
        <w:rPr>
          <w:rFonts w:cs="Times New Roman" w:ascii="Times New Roman" w:hAnsi="Times New Roman"/>
          <w:sz w:val="24"/>
          <w:szCs w:val="24"/>
        </w:rPr>
        <w:t xml:space="preserve"> também aqui ganha citação relevante, ao contrário de </w:t>
      </w:r>
      <w:r>
        <w:rPr>
          <w:rFonts w:cs="Times New Roman" w:ascii="Times New Roman" w:hAnsi="Times New Roman"/>
          <w:i/>
          <w:sz w:val="24"/>
          <w:szCs w:val="24"/>
        </w:rPr>
        <w:t>religião</w:t>
      </w:r>
      <w:r>
        <w:rPr>
          <w:rFonts w:cs="Times New Roman" w:ascii="Times New Roman" w:hAnsi="Times New Roman"/>
          <w:sz w:val="24"/>
          <w:szCs w:val="24"/>
        </w:rPr>
        <w:t xml:space="preserve">. Note-se, por outro lado, que nas 4 primeiras posições se encontram 2 ambientes mais públicos e 2 mais privados, sendo que a soma dos dois pesa, no entanto, a favor dos ambientes mais públicos (mesmo incluindo-se entre os privados a sexta posição, referida a ambientes de lazer), com destaque para o </w:t>
      </w:r>
      <w:r>
        <w:rPr>
          <w:rFonts w:cs="Times New Roman" w:ascii="Times New Roman" w:hAnsi="Times New Roman"/>
          <w:i/>
          <w:sz w:val="24"/>
          <w:szCs w:val="24"/>
        </w:rPr>
        <w:t>trabalho</w:t>
      </w:r>
      <w:r>
        <w:rPr>
          <w:rFonts w:cs="Times New Roman" w:ascii="Times New Roman" w:hAnsi="Times New Roman"/>
          <w:sz w:val="24"/>
          <w:szCs w:val="24"/>
        </w:rPr>
        <w:t xml:space="preserve">. Quanto ao tema da </w:t>
      </w:r>
      <w:r>
        <w:rPr>
          <w:rFonts w:cs="Times New Roman" w:ascii="Times New Roman" w:hAnsi="Times New Roman"/>
          <w:i/>
          <w:sz w:val="24"/>
          <w:szCs w:val="24"/>
        </w:rPr>
        <w:t>política</w:t>
      </w:r>
      <w:r>
        <w:rPr>
          <w:rFonts w:cs="Times New Roman" w:ascii="Times New Roman" w:hAnsi="Times New Roman"/>
          <w:sz w:val="24"/>
          <w:szCs w:val="24"/>
        </w:rPr>
        <w:t xml:space="preserve"> (espaço por excelência da publicização da vida social), mais uma vez, contudo, as escolhas dos entrevistados revelam um completo distanciamento. Interessante observar, ainda, que as redes sociais parecem ter, na percepção dos entrevistados, um papel subavaliado. Ao se tratar de uma categoria altamente escolarizada e conectada, escola e redes sociais apareceram com pouca relevância. Para uma melhor avaliação das possibilidades e dificuldades da perspectiva de construção de uma identidade coletiva a partir do trabalho, deve-se levar em conta questões como essa. No sentido de um aprofundamento desse tema, um aspecto relevante é buscar especificar com mais apuro os tipos de laços que se estabelecem nos ambientes de trabalho e da escola (a partir do coleguismo), no ambiente familiar (a partir do parentesco) e em outros ambientes de convívio e socialização (amizade, companheirismo etc.). Ver Gráfico 29.</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29– Onde cultiva a maioria de suas amizades</w:t>
      </w:r>
    </w:p>
    <w:p>
      <w:pPr>
        <w:pStyle w:val="Normal"/>
        <w:spacing w:lineRule="auto" w:line="240" w:before="0" w:after="0"/>
        <w:jc w:val="center"/>
        <w:rPr>
          <w:rFonts w:ascii="Times New Roman" w:hAnsi="Times New Roman" w:cs="Times New Roman"/>
          <w:sz w:val="24"/>
          <w:szCs w:val="24"/>
        </w:rPr>
      </w:pPr>
      <w:r>
        <w:rPr/>
        <w:drawing>
          <wp:inline distT="0" distB="0" distL="0" distR="0">
            <wp:extent cx="5502910" cy="2505710"/>
            <wp:effectExtent l="0" t="0" r="0" b="0"/>
            <wp:docPr id="3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Normal"/>
        <w:spacing w:lineRule="auto" w:line="240" w:before="0" w:after="0"/>
        <w:ind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b/>
          <w:b/>
        </w:rPr>
      </w:pPr>
      <w:r>
        <w:rPr>
          <w:b/>
        </w:rPr>
        <w:t>2.8. Política</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No tema da política, a primeira questão foi sobre se este assunto desperta no entrevistado </w:t>
      </w:r>
      <w:r>
        <w:rPr>
          <w:rFonts w:cs="Times New Roman" w:ascii="Times New Roman" w:hAnsi="Times New Roman"/>
          <w:i/>
          <w:sz w:val="24"/>
          <w:szCs w:val="24"/>
        </w:rPr>
        <w:t>muito</w:t>
      </w:r>
      <w:r>
        <w:rPr>
          <w:rFonts w:cs="Times New Roman" w:ascii="Times New Roman" w:hAnsi="Times New Roman"/>
          <w:sz w:val="24"/>
          <w:szCs w:val="24"/>
        </w:rPr>
        <w:t xml:space="preserve">, </w:t>
      </w:r>
      <w:r>
        <w:rPr>
          <w:rFonts w:cs="Times New Roman" w:ascii="Times New Roman" w:hAnsi="Times New Roman"/>
          <w:i/>
          <w:sz w:val="24"/>
          <w:szCs w:val="24"/>
        </w:rPr>
        <w:t>médio</w:t>
      </w:r>
      <w:r>
        <w:rPr>
          <w:rFonts w:cs="Times New Roman" w:ascii="Times New Roman" w:hAnsi="Times New Roman"/>
          <w:sz w:val="24"/>
          <w:szCs w:val="24"/>
        </w:rPr>
        <w:t xml:space="preserve">, </w:t>
      </w:r>
      <w:r>
        <w:rPr>
          <w:rFonts w:cs="Times New Roman" w:ascii="Times New Roman" w:hAnsi="Times New Roman"/>
          <w:i/>
          <w:sz w:val="24"/>
          <w:szCs w:val="24"/>
        </w:rPr>
        <w:t>pouco</w:t>
      </w:r>
      <w:r>
        <w:rPr>
          <w:rFonts w:cs="Times New Roman" w:ascii="Times New Roman" w:hAnsi="Times New Roman"/>
          <w:sz w:val="24"/>
          <w:szCs w:val="24"/>
        </w:rPr>
        <w:t xml:space="preserve"> ou </w:t>
      </w:r>
      <w:r>
        <w:rPr>
          <w:rFonts w:cs="Times New Roman" w:ascii="Times New Roman" w:hAnsi="Times New Roman"/>
          <w:i/>
          <w:sz w:val="24"/>
          <w:szCs w:val="24"/>
        </w:rPr>
        <w:t>nenhum interesse</w:t>
      </w:r>
      <w:r>
        <w:rPr>
          <w:rFonts w:cs="Times New Roman" w:ascii="Times New Roman" w:hAnsi="Times New Roman"/>
          <w:sz w:val="24"/>
          <w:szCs w:val="24"/>
        </w:rPr>
        <w:t xml:space="preserve">. Conforme mostra o Gráfico 30, curiosamente, pouco mais de um quarto dos entrevistados (25,7%) declararam ter </w:t>
      </w:r>
      <w:r>
        <w:rPr>
          <w:rFonts w:cs="Times New Roman" w:ascii="Times New Roman" w:hAnsi="Times New Roman"/>
          <w:i/>
          <w:sz w:val="24"/>
          <w:szCs w:val="24"/>
        </w:rPr>
        <w:t>muito</w:t>
      </w:r>
      <w:r>
        <w:rPr>
          <w:rFonts w:cs="Times New Roman" w:ascii="Times New Roman" w:hAnsi="Times New Roman"/>
          <w:sz w:val="24"/>
          <w:szCs w:val="24"/>
        </w:rPr>
        <w:t xml:space="preserve"> interesse, além de outros 34,9% que disseram ter </w:t>
      </w:r>
      <w:r>
        <w:rPr>
          <w:rFonts w:cs="Times New Roman" w:ascii="Times New Roman" w:hAnsi="Times New Roman"/>
          <w:i/>
          <w:sz w:val="24"/>
          <w:szCs w:val="24"/>
        </w:rPr>
        <w:t>médio</w:t>
      </w:r>
      <w:r>
        <w:rPr>
          <w:rFonts w:cs="Times New Roman" w:ascii="Times New Roman" w:hAnsi="Times New Roman"/>
          <w:sz w:val="24"/>
          <w:szCs w:val="24"/>
        </w:rPr>
        <w:t xml:space="preserve"> interesse, totalizando 60,6% com algum nível de interesse na política. Isso parece muito, se levarmos em conta a pouca frequência com que o tema foi citado em outros momentos do questionário.</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30 – Que interesse os assuntos políticos despertam</w:t>
      </w:r>
    </w:p>
    <w:p>
      <w:pPr>
        <w:pStyle w:val="Normal"/>
        <w:spacing w:lineRule="auto" w:line="240" w:before="0" w:after="0"/>
        <w:ind w:firstLine="567"/>
        <w:jc w:val="center"/>
        <w:rPr>
          <w:rFonts w:ascii="Times New Roman" w:hAnsi="Times New Roman" w:cs="Times New Roman"/>
          <w:sz w:val="24"/>
          <w:szCs w:val="24"/>
        </w:rPr>
      </w:pPr>
      <w:r>
        <w:rPr/>
        <w:drawing>
          <wp:inline distT="0" distB="0" distL="0" distR="0">
            <wp:extent cx="3606800" cy="2239645"/>
            <wp:effectExtent l="0" t="0" r="0" b="0"/>
            <wp:docPr id="3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No quesito seguinte, foi perguntado ao entrevistado se ele era, ou não, filiado a partido político. Conforme mostra o Gráfico 31, o resultado foi acachapante: 96,2% responderam que </w:t>
      </w:r>
      <w:r>
        <w:rPr>
          <w:rFonts w:cs="Times New Roman" w:ascii="Times New Roman" w:hAnsi="Times New Roman"/>
          <w:i/>
          <w:sz w:val="24"/>
          <w:szCs w:val="24"/>
        </w:rPr>
        <w:t>não</w:t>
      </w:r>
      <w:r>
        <w:rPr>
          <w:rFonts w:cs="Times New Roman" w:ascii="Times New Roman" w:hAnsi="Times New Roman"/>
          <w:sz w:val="24"/>
          <w:szCs w:val="24"/>
        </w:rPr>
        <w:t>. O interesse pela política, que se expressou no quesito anterior em um nível razoável, não se traduz em engajamento em partidos políticos.</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31 – Filiado a Partido Político</w:t>
      </w:r>
    </w:p>
    <w:p>
      <w:pPr>
        <w:pStyle w:val="Normal"/>
        <w:spacing w:lineRule="auto" w:line="240" w:before="0" w:after="0"/>
        <w:jc w:val="center"/>
        <w:rPr>
          <w:rFonts w:ascii="Times New Roman" w:hAnsi="Times New Roman" w:cs="Times New Roman"/>
          <w:sz w:val="24"/>
          <w:szCs w:val="24"/>
        </w:rPr>
      </w:pPr>
      <w:r>
        <w:rPr/>
        <w:drawing>
          <wp:inline distT="0" distB="0" distL="0" distR="0">
            <wp:extent cx="3378200" cy="1846580"/>
            <wp:effectExtent l="0" t="0" r="0" b="0"/>
            <wp:docPr id="3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Outro indicador do baixo engajamento na política por parte dos entrevistados (para além de declarar algum nível de interesse pelo tema) se revelou com as respostas sobre se participava, ou não, de uma lista de 13 formas de organização e ação (mais a alternativa “outra”), dentre as mais comuns e em evidência nas práticas sociais e políticas do país. Cada entrevistado poderia assinalar tantas opções quantas correspondessem às suas práticas sociais e políticas. Curiosamente, ganharam um pouco mais de destaque a opção </w:t>
      </w:r>
      <w:r>
        <w:rPr>
          <w:rFonts w:cs="Times New Roman" w:ascii="Times New Roman" w:hAnsi="Times New Roman"/>
          <w:i/>
          <w:sz w:val="24"/>
          <w:szCs w:val="24"/>
        </w:rPr>
        <w:t>grupo religioso</w:t>
      </w:r>
      <w:r>
        <w:rPr>
          <w:rFonts w:cs="Times New Roman" w:ascii="Times New Roman" w:hAnsi="Times New Roman"/>
          <w:sz w:val="24"/>
          <w:szCs w:val="24"/>
        </w:rPr>
        <w:t xml:space="preserve"> (15,9%) e, em posição mais distante, </w:t>
      </w:r>
      <w:r>
        <w:rPr>
          <w:rFonts w:cs="Times New Roman" w:ascii="Times New Roman" w:hAnsi="Times New Roman"/>
          <w:i/>
          <w:sz w:val="24"/>
          <w:szCs w:val="24"/>
        </w:rPr>
        <w:t>associação profissional</w:t>
      </w:r>
      <w:r>
        <w:rPr>
          <w:rFonts w:cs="Times New Roman" w:ascii="Times New Roman" w:hAnsi="Times New Roman"/>
          <w:sz w:val="24"/>
          <w:szCs w:val="24"/>
        </w:rPr>
        <w:t xml:space="preserve"> (6,0%), além de </w:t>
      </w:r>
      <w:r>
        <w:rPr>
          <w:rFonts w:cs="Times New Roman" w:ascii="Times New Roman" w:hAnsi="Times New Roman"/>
          <w:i/>
          <w:sz w:val="24"/>
          <w:szCs w:val="24"/>
        </w:rPr>
        <w:t>grupo de jovens</w:t>
      </w:r>
      <w:r>
        <w:rPr>
          <w:rFonts w:cs="Times New Roman" w:ascii="Times New Roman" w:hAnsi="Times New Roman"/>
          <w:sz w:val="24"/>
          <w:szCs w:val="24"/>
        </w:rPr>
        <w:t xml:space="preserve"> (4,6). A evidência nesses tipos de participação social realça ainda mais o baixo conteúdo político dos respondentes. Por outro lado, vale ressaltar que, mesmo com níveis baixos de participação nesses tipos de atividades sociais e políticas, nota-se uma grande variedade de formas de envolvimento.</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32 – Participa das seguintes associações ou movimentos</w:t>
      </w:r>
    </w:p>
    <w:p>
      <w:pPr>
        <w:pStyle w:val="Normal"/>
        <w:spacing w:lineRule="auto" w:line="240" w:before="0" w:after="0"/>
        <w:jc w:val="both"/>
        <w:rPr>
          <w:rFonts w:ascii="Times New Roman" w:hAnsi="Times New Roman" w:cs="Times New Roman"/>
          <w:sz w:val="24"/>
          <w:szCs w:val="24"/>
        </w:rPr>
      </w:pPr>
      <w:r>
        <w:rPr/>
        <w:drawing>
          <wp:inline distT="0" distB="0" distL="0" distR="0">
            <wp:extent cx="4572000" cy="2806700"/>
            <wp:effectExtent l="0" t="0" r="0" b="0"/>
            <wp:docPr id="4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Normal"/>
        <w:spacing w:lineRule="auto" w:line="240" w:before="0" w:after="0"/>
        <w:ind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Outra questão buscou, ainda, apreender o nível de engajamento político dos entrevistados. Dessa vez, a pergunta versou sobre a </w:t>
      </w:r>
      <w:r>
        <w:rPr>
          <w:rFonts w:cs="Times New Roman" w:ascii="Times New Roman" w:hAnsi="Times New Roman"/>
          <w:i/>
          <w:sz w:val="24"/>
          <w:szCs w:val="24"/>
        </w:rPr>
        <w:t>participação nos últimos anos em atividades políticas</w:t>
      </w:r>
      <w:r>
        <w:rPr>
          <w:rFonts w:cs="Times New Roman" w:ascii="Times New Roman" w:hAnsi="Times New Roman"/>
          <w:sz w:val="24"/>
          <w:szCs w:val="24"/>
        </w:rPr>
        <w:t xml:space="preserve">. O país tem vivido intensas mobilizações especialmente deste as manifestações de junho de 2013. A inclusão desse quesito teve o propósito de avaliar se e com que intensidade os trabalhadores de TI das RMR com elas se envolveram. A pergunta distinguiu três situações: </w:t>
      </w:r>
      <w:r>
        <w:rPr>
          <w:rFonts w:cs="Times New Roman" w:ascii="Times New Roman" w:hAnsi="Times New Roman"/>
          <w:i/>
          <w:sz w:val="24"/>
          <w:szCs w:val="24"/>
        </w:rPr>
        <w:t>participação na forma presencial em lugares fechados</w:t>
      </w:r>
      <w:r>
        <w:rPr>
          <w:rFonts w:cs="Times New Roman" w:ascii="Times New Roman" w:hAnsi="Times New Roman"/>
          <w:sz w:val="24"/>
          <w:szCs w:val="24"/>
        </w:rPr>
        <w:t xml:space="preserve"> (escolas, clube, sede de associação, etc.); </w:t>
      </w:r>
      <w:r>
        <w:rPr>
          <w:rFonts w:cs="Times New Roman" w:ascii="Times New Roman" w:hAnsi="Times New Roman"/>
          <w:i/>
          <w:sz w:val="24"/>
          <w:szCs w:val="24"/>
        </w:rPr>
        <w:t>participação na forma presencial em lugares abertos</w:t>
      </w:r>
      <w:r>
        <w:rPr>
          <w:rFonts w:cs="Times New Roman" w:ascii="Times New Roman" w:hAnsi="Times New Roman"/>
          <w:sz w:val="24"/>
          <w:szCs w:val="24"/>
        </w:rPr>
        <w:t xml:space="preserve"> (praças, ruas, pátios, etc.); </w:t>
      </w:r>
      <w:r>
        <w:rPr>
          <w:rFonts w:cs="Times New Roman" w:ascii="Times New Roman" w:hAnsi="Times New Roman"/>
          <w:i/>
          <w:sz w:val="24"/>
          <w:szCs w:val="24"/>
        </w:rPr>
        <w:t>participação por meio virtual</w:t>
      </w:r>
      <w:r>
        <w:rPr>
          <w:rFonts w:cs="Times New Roman" w:ascii="Times New Roman" w:hAnsi="Times New Roman"/>
          <w:sz w:val="24"/>
          <w:szCs w:val="24"/>
        </w:rPr>
        <w:t xml:space="preserve"> (redes sociais). Para cada item, foram postas três opções: </w:t>
      </w:r>
      <w:r>
        <w:rPr>
          <w:rFonts w:cs="Times New Roman" w:ascii="Times New Roman" w:hAnsi="Times New Roman"/>
          <w:i/>
          <w:sz w:val="24"/>
          <w:szCs w:val="24"/>
        </w:rPr>
        <w:t>sim, poucas vezes</w:t>
      </w:r>
      <w:r>
        <w:rPr>
          <w:rFonts w:cs="Times New Roman" w:ascii="Times New Roman" w:hAnsi="Times New Roman"/>
          <w:sz w:val="24"/>
          <w:szCs w:val="24"/>
        </w:rPr>
        <w:t xml:space="preserve">; </w:t>
      </w:r>
      <w:r>
        <w:rPr>
          <w:rFonts w:cs="Times New Roman" w:ascii="Times New Roman" w:hAnsi="Times New Roman"/>
          <w:i/>
          <w:sz w:val="24"/>
          <w:szCs w:val="24"/>
        </w:rPr>
        <w:t>sim, muitas vezes</w:t>
      </w:r>
      <w:r>
        <w:rPr>
          <w:rFonts w:cs="Times New Roman" w:ascii="Times New Roman" w:hAnsi="Times New Roman"/>
          <w:sz w:val="24"/>
          <w:szCs w:val="24"/>
        </w:rPr>
        <w:t xml:space="preserve">; </w:t>
      </w:r>
      <w:r>
        <w:rPr>
          <w:rFonts w:cs="Times New Roman" w:ascii="Times New Roman" w:hAnsi="Times New Roman"/>
          <w:i/>
          <w:sz w:val="24"/>
          <w:szCs w:val="24"/>
        </w:rPr>
        <w:t>não</w:t>
      </w:r>
      <w:r>
        <w:rPr>
          <w:rFonts w:cs="Times New Roman" w:ascii="Times New Roman" w:hAnsi="Times New Roman"/>
          <w:sz w:val="24"/>
          <w:szCs w:val="24"/>
        </w:rPr>
        <w:t>. Como se vê no Gráfico 33, os patamares de participação variaram de 21,7% (</w:t>
      </w:r>
      <w:r>
        <w:rPr>
          <w:rFonts w:cs="Times New Roman" w:ascii="Times New Roman" w:hAnsi="Times New Roman"/>
          <w:i/>
          <w:sz w:val="24"/>
          <w:szCs w:val="24"/>
        </w:rPr>
        <w:t>lugares fechados</w:t>
      </w:r>
      <w:r>
        <w:rPr>
          <w:rFonts w:cs="Times New Roman" w:ascii="Times New Roman" w:hAnsi="Times New Roman"/>
          <w:sz w:val="24"/>
          <w:szCs w:val="24"/>
        </w:rPr>
        <w:t>) a 29,8% (</w:t>
      </w:r>
      <w:r>
        <w:rPr>
          <w:rFonts w:cs="Times New Roman" w:ascii="Times New Roman" w:hAnsi="Times New Roman"/>
          <w:i/>
          <w:sz w:val="24"/>
          <w:szCs w:val="24"/>
        </w:rPr>
        <w:t>lugares abertos</w:t>
      </w:r>
      <w:r>
        <w:rPr>
          <w:rFonts w:cs="Times New Roman" w:ascii="Times New Roman" w:hAnsi="Times New Roman"/>
          <w:sz w:val="24"/>
          <w:szCs w:val="24"/>
        </w:rPr>
        <w:t>) e 31,5% (</w:t>
      </w:r>
      <w:r>
        <w:rPr>
          <w:rFonts w:cs="Times New Roman" w:ascii="Times New Roman" w:hAnsi="Times New Roman"/>
          <w:i/>
          <w:sz w:val="24"/>
          <w:szCs w:val="24"/>
        </w:rPr>
        <w:t>meio virtual</w:t>
      </w:r>
      <w:r>
        <w:rPr>
          <w:rFonts w:cs="Times New Roman" w:ascii="Times New Roman" w:hAnsi="Times New Roman"/>
          <w:sz w:val="24"/>
          <w:szCs w:val="24"/>
        </w:rPr>
        <w:t xml:space="preserve">). Entre participar </w:t>
      </w:r>
      <w:r>
        <w:rPr>
          <w:rFonts w:cs="Times New Roman" w:ascii="Times New Roman" w:hAnsi="Times New Roman"/>
          <w:i/>
          <w:sz w:val="24"/>
          <w:szCs w:val="24"/>
        </w:rPr>
        <w:t>poucas</w:t>
      </w:r>
      <w:r>
        <w:rPr>
          <w:rFonts w:cs="Times New Roman" w:ascii="Times New Roman" w:hAnsi="Times New Roman"/>
          <w:sz w:val="24"/>
          <w:szCs w:val="24"/>
        </w:rPr>
        <w:t xml:space="preserve"> e </w:t>
      </w:r>
      <w:r>
        <w:rPr>
          <w:rFonts w:cs="Times New Roman" w:ascii="Times New Roman" w:hAnsi="Times New Roman"/>
          <w:i/>
          <w:sz w:val="24"/>
          <w:szCs w:val="24"/>
        </w:rPr>
        <w:t>muitas vezes</w:t>
      </w:r>
      <w:r>
        <w:rPr>
          <w:rFonts w:cs="Times New Roman" w:ascii="Times New Roman" w:hAnsi="Times New Roman"/>
          <w:sz w:val="24"/>
          <w:szCs w:val="24"/>
        </w:rPr>
        <w:t>, as situações se dividiram igualmente (</w:t>
      </w:r>
      <w:r>
        <w:rPr>
          <w:rFonts w:cs="Times New Roman" w:ascii="Times New Roman" w:hAnsi="Times New Roman"/>
          <w:i/>
          <w:sz w:val="24"/>
          <w:szCs w:val="24"/>
        </w:rPr>
        <w:t>lugares fechados</w:t>
      </w:r>
      <w:r>
        <w:rPr>
          <w:rFonts w:cs="Times New Roman" w:ascii="Times New Roman" w:hAnsi="Times New Roman"/>
          <w:sz w:val="24"/>
          <w:szCs w:val="24"/>
        </w:rPr>
        <w:t>), com vantagem para o primeiro (</w:t>
      </w:r>
      <w:r>
        <w:rPr>
          <w:rFonts w:cs="Times New Roman" w:ascii="Times New Roman" w:hAnsi="Times New Roman"/>
          <w:i/>
          <w:sz w:val="24"/>
          <w:szCs w:val="24"/>
        </w:rPr>
        <w:t>lugares abertos</w:t>
      </w:r>
      <w:r>
        <w:rPr>
          <w:rFonts w:cs="Times New Roman" w:ascii="Times New Roman" w:hAnsi="Times New Roman"/>
          <w:sz w:val="24"/>
          <w:szCs w:val="24"/>
        </w:rPr>
        <w:t>) ou com vantagem para o segundo (</w:t>
      </w:r>
      <w:r>
        <w:rPr>
          <w:rFonts w:cs="Times New Roman" w:ascii="Times New Roman" w:hAnsi="Times New Roman"/>
          <w:i/>
          <w:sz w:val="24"/>
          <w:szCs w:val="24"/>
        </w:rPr>
        <w:t>meio virtual</w:t>
      </w:r>
      <w:r>
        <w:rPr>
          <w:rFonts w:cs="Times New Roman" w:ascii="Times New Roman" w:hAnsi="Times New Roman"/>
          <w:sz w:val="24"/>
          <w:szCs w:val="24"/>
        </w:rPr>
        <w:t xml:space="preserve">). Interessante notar que no tema </w:t>
      </w:r>
      <w:r>
        <w:rPr>
          <w:rFonts w:cs="Times New Roman" w:ascii="Times New Roman" w:hAnsi="Times New Roman"/>
          <w:i/>
          <w:sz w:val="24"/>
          <w:szCs w:val="24"/>
        </w:rPr>
        <w:t>vida social e amizade</w:t>
      </w:r>
      <w:r>
        <w:rPr>
          <w:rFonts w:cs="Times New Roman" w:ascii="Times New Roman" w:hAnsi="Times New Roman"/>
          <w:sz w:val="24"/>
          <w:szCs w:val="24"/>
        </w:rPr>
        <w:t>, o uso político das redes sociais foi citado por apenas 1,6% dos respondentes, enquanto agora quase 32% declararam usar esse meio com fins políticos. De outra parte, quando avaliamos os níveis de envolvimentos dos entrevistados com movimentos, associações e grupos sociais e políticos, constatamos baixos níveis de participação, enquanto agora revelam-se percentuais bem mais elevados de participação em atividades políticas. Supomos que ambas as discrepâncias têm a ver com o modo como a política tem entrado na vida das pessoas comuns nesse contexto recente, ou seja, isso ocorre mais pela negação do que por sua afirmação. As manifestações de massa dos últimos anos em muito tiveram como eixo a crítica aos políticos e, por extensão, às instituições políticas e à própria política. Entretanto, envolver-se com essas manifestações pode não ser percebido como “participar da política”.</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33 – Participação nos últimos anos em atividades políticas</w:t>
      </w:r>
    </w:p>
    <w:tbl>
      <w:tblPr>
        <w:tblStyle w:val="Tabelacomgrade"/>
        <w:tblW w:w="8504" w:type="dxa"/>
        <w:jc w:val="left"/>
        <w:tblInd w:w="0" w:type="dxa"/>
        <w:shd w:fill="FFFFFF" w:val="clear"/>
        <w:tblCellMar>
          <w:top w:w="0" w:type="dxa"/>
          <w:left w:w="70" w:type="dxa"/>
          <w:bottom w:w="0" w:type="dxa"/>
          <w:right w:w="70" w:type="dxa"/>
        </w:tblCellMar>
        <w:tblLook w:firstRow="1" w:noVBand="1" w:lastRow="0" w:firstColumn="1" w:lastColumn="0" w:noHBand="0" w:val="04a0"/>
      </w:tblPr>
      <w:tblGrid>
        <w:gridCol w:w="4296"/>
        <w:gridCol w:w="4207"/>
      </w:tblGrid>
      <w:tr>
        <w:trPr>
          <w:cnfStyle w:val="100000000000" w:firstRow="1" w:lastRow="0" w:firstColumn="0" w:lastColumn="0" w:oddVBand="0" w:evenVBand="0" w:oddHBand="0" w:evenHBand="0" w:firstRowFirstColumn="0" w:firstRowLastColumn="0" w:lastRowFirstColumn="0" w:lastRowLastColumn="0"/>
        </w:trPr>
        <w:tc>
          <w:tcPr>
            <w:tcW w:w="4296"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spacing w:lineRule="auto" w:line="360" w:before="0" w:after="0"/>
              <w:jc w:val="both"/>
              <w:rPr>
                <w:rFonts w:ascii="Times New Roman" w:hAnsi="Times New Roman" w:cs="Times New Roman"/>
                <w:b w:val="false"/>
                <w:b w:val="false"/>
                <w:i w:val="false"/>
                <w:i w:val="false"/>
                <w:color w:val="000000" w:themeColor="text1"/>
                <w:sz w:val="24"/>
                <w:szCs w:val="24"/>
              </w:rPr>
            </w:pPr>
            <w:r>
              <w:rPr>
                <w:rFonts w:eastAsia="" w:eastAsiaTheme="minorEastAsia"/>
                <w:b/>
                <w:bCs/>
                <w:i/>
                <w:iCs/>
                <w:color w:val="800000"/>
                <w:sz w:val="20"/>
                <w:szCs w:val="20"/>
                <w:lang w:eastAsia="pt-BR"/>
              </w:rPr>
              <w:drawing>
                <wp:inline distT="0" distB="0" distL="0" distR="0">
                  <wp:extent cx="2667000" cy="1775460"/>
                  <wp:effectExtent l="0" t="0" r="0" b="0"/>
                  <wp:docPr id="4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207" w:type="dxa"/>
            <w:tcBorders>
              <w:top w:val="nil"/>
              <w:left w:val="nil"/>
              <w:bottom w:val="nil"/>
              <w:right w:val="nil"/>
            </w:tcBorders>
            <w:shd w:color="auto" w:fill="FFFFFF" w:themeFill="background1"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false"/>
                <w:b w:val="false"/>
                <w:i w:val="false"/>
                <w:i w:val="false"/>
                <w:color w:val="000000" w:themeColor="text1"/>
                <w:sz w:val="24"/>
                <w:szCs w:val="24"/>
              </w:rPr>
            </w:pPr>
            <w:r>
              <w:rPr>
                <w:rFonts w:eastAsia="" w:eastAsiaTheme="minorEastAsia"/>
                <w:b/>
                <w:bCs/>
                <w:i/>
                <w:iCs/>
                <w:color w:val="800000"/>
                <w:sz w:val="20"/>
                <w:szCs w:val="20"/>
                <w:lang w:eastAsia="pt-BR"/>
              </w:rPr>
              <w:drawing>
                <wp:inline distT="0" distB="0" distL="0" distR="0">
                  <wp:extent cx="2599055" cy="1774825"/>
                  <wp:effectExtent l="0" t="0" r="0" b="0"/>
                  <wp:docPr id="4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trPr>
          <w:trHeight w:val="2041" w:hRule="atLeast"/>
          <w:cnfStyle w:val="000000100000" w:firstRow="0" w:lastRow="0" w:firstColumn="0" w:lastColumn="0" w:oddVBand="0" w:evenVBand="0" w:oddHBand="1" w:evenHBand="0" w:firstRowFirstColumn="0" w:firstRowLastColumn="0" w:lastRowFirstColumn="0" w:lastRowLastColumn="0"/>
        </w:trPr>
        <w:tc>
          <w:tcPr>
            <w:tcW w:w="8503" w:type="dxa"/>
            <w:gridSpan w:val="2"/>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spacing w:lineRule="auto" w:line="360" w:before="0" w:after="0"/>
              <w:jc w:val="center"/>
              <w:rPr>
                <w:rFonts w:ascii="Times New Roman" w:hAnsi="Times New Roman" w:cs="Times New Roman"/>
                <w:sz w:val="24"/>
                <w:szCs w:val="24"/>
              </w:rPr>
            </w:pPr>
            <w:r>
              <w:rPr>
                <w:rFonts w:eastAsia="" w:eastAsiaTheme="minorEastAsia"/>
                <w:b/>
                <w:bCs/>
                <w:color w:val="auto"/>
                <w:sz w:val="20"/>
                <w:szCs w:val="20"/>
                <w:lang w:eastAsia="pt-BR"/>
              </w:rPr>
              <w:drawing>
                <wp:inline distT="0" distB="0" distL="0" distR="0">
                  <wp:extent cx="2962910" cy="1994535"/>
                  <wp:effectExtent l="0" t="0" r="0" b="0"/>
                  <wp:docPr id="4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pPr>
        <w:pStyle w:val="Normal"/>
        <w:spacing w:lineRule="auto" w:line="240" w:before="0" w:after="0"/>
        <w:ind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Outra questão se referiu aos meios através dos quais os trabalhadores em TI da RMR </w:t>
      </w:r>
      <w:r>
        <w:rPr>
          <w:rFonts w:cs="Times New Roman" w:ascii="Times New Roman" w:hAnsi="Times New Roman"/>
          <w:i/>
          <w:sz w:val="24"/>
          <w:szCs w:val="24"/>
        </w:rPr>
        <w:t>se informam e se orientam sobre assuntos políticos</w:t>
      </w:r>
      <w:r>
        <w:rPr>
          <w:rFonts w:cs="Times New Roman" w:ascii="Times New Roman" w:hAnsi="Times New Roman"/>
          <w:sz w:val="24"/>
          <w:szCs w:val="24"/>
        </w:rPr>
        <w:t xml:space="preserve">. Os entrevistados, diante de uma lista de 10 opções (mais a alternativa “outro”), deveria escolher até duas, sem ordem de prioridade. De um máximo de 1.208 respostas possíveis, contabilizaram-se 1.132 (93,71%). Nota-se, com o Gráfico 34, que a opção mais citada foi </w:t>
      </w:r>
      <w:r>
        <w:rPr>
          <w:rFonts w:cs="Times New Roman" w:ascii="Times New Roman" w:hAnsi="Times New Roman"/>
          <w:i/>
          <w:sz w:val="24"/>
          <w:szCs w:val="24"/>
        </w:rPr>
        <w:t>TV</w:t>
      </w:r>
      <w:r>
        <w:rPr>
          <w:rFonts w:cs="Times New Roman" w:ascii="Times New Roman" w:hAnsi="Times New Roman"/>
          <w:sz w:val="24"/>
          <w:szCs w:val="24"/>
        </w:rPr>
        <w:t xml:space="preserve"> (31,2%), o que sugere a importância que esse meio de comunicação ainda tem para a informação política da população, ao que se somam as citações de </w:t>
      </w:r>
      <w:r>
        <w:rPr>
          <w:rFonts w:cs="Times New Roman" w:ascii="Times New Roman" w:hAnsi="Times New Roman"/>
          <w:i/>
          <w:sz w:val="24"/>
          <w:szCs w:val="24"/>
        </w:rPr>
        <w:t>jornais e revistas</w:t>
      </w:r>
      <w:r>
        <w:rPr>
          <w:rFonts w:cs="Times New Roman" w:ascii="Times New Roman" w:hAnsi="Times New Roman"/>
          <w:sz w:val="24"/>
          <w:szCs w:val="24"/>
        </w:rPr>
        <w:t xml:space="preserve"> (15,5%) e </w:t>
      </w:r>
      <w:r>
        <w:rPr>
          <w:rFonts w:cs="Times New Roman" w:ascii="Times New Roman" w:hAnsi="Times New Roman"/>
          <w:i/>
          <w:sz w:val="24"/>
          <w:szCs w:val="24"/>
        </w:rPr>
        <w:t>rádio</w:t>
      </w:r>
      <w:r>
        <w:rPr>
          <w:rFonts w:cs="Times New Roman" w:ascii="Times New Roman" w:hAnsi="Times New Roman"/>
          <w:sz w:val="24"/>
          <w:szCs w:val="24"/>
        </w:rPr>
        <w:t xml:space="preserve"> (7,4%), contabilizando 54,1% que assinalaram formas convencionais de comunicação. Contudo, a ocorrência da opção </w:t>
      </w:r>
      <w:r>
        <w:rPr>
          <w:rFonts w:cs="Times New Roman" w:ascii="Times New Roman" w:hAnsi="Times New Roman"/>
          <w:i/>
          <w:sz w:val="24"/>
          <w:szCs w:val="24"/>
        </w:rPr>
        <w:t>pelas redes sociais</w:t>
      </w:r>
      <w:r>
        <w:rPr>
          <w:rFonts w:cs="Times New Roman" w:ascii="Times New Roman" w:hAnsi="Times New Roman"/>
          <w:sz w:val="24"/>
          <w:szCs w:val="24"/>
        </w:rPr>
        <w:t xml:space="preserve"> em segundo lugar (26,0%), por outro lado, mostra o peso que tais meios já detêm nesse tema. De outra parte, os dados abaixo também corroboram a constatação de que o ambiente do trabalho está dissociado dos assuntos da política, assim como sindicatos/associações/movimentos não aparecem como meios de informação e orientação política. Ainda: </w:t>
      </w:r>
      <w:r>
        <w:rPr>
          <w:rFonts w:cs="Times New Roman" w:ascii="Times New Roman" w:hAnsi="Times New Roman"/>
          <w:i/>
          <w:sz w:val="24"/>
          <w:szCs w:val="24"/>
        </w:rPr>
        <w:t>escola</w:t>
      </w:r>
      <w:r>
        <w:rPr>
          <w:rFonts w:cs="Times New Roman" w:ascii="Times New Roman" w:hAnsi="Times New Roman"/>
          <w:sz w:val="24"/>
          <w:szCs w:val="24"/>
        </w:rPr>
        <w:t xml:space="preserve">, </w:t>
      </w:r>
      <w:r>
        <w:rPr>
          <w:rFonts w:cs="Times New Roman" w:ascii="Times New Roman" w:hAnsi="Times New Roman"/>
          <w:i/>
          <w:sz w:val="24"/>
          <w:szCs w:val="24"/>
        </w:rPr>
        <w:t>religião</w:t>
      </w:r>
      <w:r>
        <w:rPr>
          <w:rFonts w:cs="Times New Roman" w:ascii="Times New Roman" w:hAnsi="Times New Roman"/>
          <w:sz w:val="24"/>
          <w:szCs w:val="24"/>
        </w:rPr>
        <w:t xml:space="preserve"> e </w:t>
      </w:r>
      <w:r>
        <w:rPr>
          <w:rFonts w:cs="Times New Roman" w:ascii="Times New Roman" w:hAnsi="Times New Roman"/>
          <w:i/>
          <w:sz w:val="24"/>
          <w:szCs w:val="24"/>
        </w:rPr>
        <w:t>família</w:t>
      </w:r>
      <w:r>
        <w:rPr>
          <w:rFonts w:cs="Times New Roman" w:ascii="Times New Roman" w:hAnsi="Times New Roman"/>
          <w:sz w:val="24"/>
          <w:szCs w:val="24"/>
        </w:rPr>
        <w:t xml:space="preserve"> foram aqui postas à distância da informação e orientação política.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34 – Como se informa e se orienta sobre assuntos políticos</w:t>
      </w:r>
    </w:p>
    <w:p>
      <w:pPr>
        <w:pStyle w:val="Normal"/>
        <w:spacing w:lineRule="auto" w:line="360" w:before="0" w:after="0"/>
        <w:ind w:firstLine="567"/>
        <w:jc w:val="both"/>
        <w:rPr>
          <w:rFonts w:ascii="Times New Roman" w:hAnsi="Times New Roman" w:cs="Times New Roman"/>
          <w:sz w:val="24"/>
          <w:szCs w:val="24"/>
        </w:rPr>
      </w:pPr>
      <w:r>
        <w:rPr/>
        <w:drawing>
          <wp:inline distT="0" distB="0" distL="0" distR="0">
            <wp:extent cx="4572000" cy="2501900"/>
            <wp:effectExtent l="0" t="0" r="0" b="0"/>
            <wp:docPr id="4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Normal"/>
        <w:spacing w:lineRule="auto" w:line="240" w:before="0" w:after="0"/>
        <w:ind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Para continuar perscrutando sobre as concepções e valores que movem os trabalhadores em TI da RMR, passamos a duas questões finais centradas nas opiniões dos entrevistados. A primeira versou sobre como concebiam as prioridades da gestão pública. Para tanto foram oferecidas 9 opções (mais a alternativa “outra”). Cada entrevistado deveria assinalar até duas opções, sem necessidade de ordenamento. Foram formuladas, ao final, 1.185 respostas (98,1% do total de respostas possíveis, que era de 1.208). Para uma melhor avaliação das respostas a dividiremos em três grupos: </w:t>
      </w:r>
    </w:p>
    <w:p>
      <w:pPr>
        <w:pStyle w:val="ListParagraph"/>
        <w:numPr>
          <w:ilvl w:val="0"/>
          <w:numId w:val="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i/>
          <w:sz w:val="24"/>
          <w:szCs w:val="24"/>
        </w:rPr>
        <w:t>combate à corrupção</w:t>
      </w:r>
      <w:r>
        <w:rPr>
          <w:rFonts w:cs="Times New Roman" w:ascii="Times New Roman" w:hAnsi="Times New Roman"/>
          <w:sz w:val="24"/>
          <w:szCs w:val="24"/>
        </w:rPr>
        <w:t xml:space="preserve"> (21,9%), </w:t>
      </w:r>
      <w:r>
        <w:rPr>
          <w:rFonts w:cs="Times New Roman" w:ascii="Times New Roman" w:hAnsi="Times New Roman"/>
          <w:i/>
          <w:sz w:val="24"/>
          <w:szCs w:val="24"/>
        </w:rPr>
        <w:t>eficiência</w:t>
      </w:r>
      <w:r>
        <w:rPr>
          <w:rFonts w:cs="Times New Roman" w:ascii="Times New Roman" w:hAnsi="Times New Roman"/>
          <w:sz w:val="24"/>
          <w:szCs w:val="24"/>
        </w:rPr>
        <w:t xml:space="preserve"> (7,8%), </w:t>
      </w:r>
      <w:r>
        <w:rPr>
          <w:rFonts w:cs="Times New Roman" w:ascii="Times New Roman" w:hAnsi="Times New Roman"/>
          <w:i/>
          <w:sz w:val="24"/>
          <w:szCs w:val="24"/>
        </w:rPr>
        <w:t>respeito à lei e à ordem</w:t>
      </w:r>
      <w:r>
        <w:rPr>
          <w:rFonts w:cs="Times New Roman" w:ascii="Times New Roman" w:hAnsi="Times New Roman"/>
          <w:sz w:val="24"/>
          <w:szCs w:val="24"/>
        </w:rPr>
        <w:t xml:space="preserve"> (6,2%) e </w:t>
      </w:r>
      <w:r>
        <w:rPr>
          <w:rFonts w:cs="Times New Roman" w:ascii="Times New Roman" w:hAnsi="Times New Roman"/>
          <w:i/>
          <w:sz w:val="24"/>
          <w:szCs w:val="24"/>
        </w:rPr>
        <w:t>atender às demandas do mundo dos negócios</w:t>
      </w:r>
      <w:r>
        <w:rPr>
          <w:rFonts w:cs="Times New Roman" w:ascii="Times New Roman" w:hAnsi="Times New Roman"/>
          <w:sz w:val="24"/>
          <w:szCs w:val="24"/>
        </w:rPr>
        <w:t xml:space="preserve"> (0,3%) são componentes mais fortemente presentes no discurso liberal-conservador, que mesmo com diferenças internas têm participado de um alinhamento à direita no debate político nacional;</w:t>
      </w:r>
    </w:p>
    <w:p>
      <w:pPr>
        <w:pStyle w:val="ListParagraph"/>
        <w:numPr>
          <w:ilvl w:val="0"/>
          <w:numId w:val="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i/>
          <w:sz w:val="24"/>
          <w:szCs w:val="24"/>
        </w:rPr>
        <w:t>justiça social</w:t>
      </w:r>
      <w:r>
        <w:rPr>
          <w:rFonts w:cs="Times New Roman" w:ascii="Times New Roman" w:hAnsi="Times New Roman"/>
          <w:sz w:val="24"/>
          <w:szCs w:val="24"/>
        </w:rPr>
        <w:t xml:space="preserve"> (12,2%), </w:t>
      </w:r>
      <w:r>
        <w:rPr>
          <w:rFonts w:cs="Times New Roman" w:ascii="Times New Roman" w:hAnsi="Times New Roman"/>
          <w:i/>
          <w:sz w:val="24"/>
          <w:szCs w:val="24"/>
        </w:rPr>
        <w:t>democracia</w:t>
      </w:r>
      <w:r>
        <w:rPr>
          <w:rFonts w:cs="Times New Roman" w:ascii="Times New Roman" w:hAnsi="Times New Roman"/>
          <w:sz w:val="24"/>
          <w:szCs w:val="24"/>
        </w:rPr>
        <w:t xml:space="preserve"> (7,8%) e </w:t>
      </w:r>
      <w:r>
        <w:rPr>
          <w:rFonts w:cs="Times New Roman" w:ascii="Times New Roman" w:hAnsi="Times New Roman"/>
          <w:i/>
          <w:sz w:val="24"/>
          <w:szCs w:val="24"/>
        </w:rPr>
        <w:t>distribuição de renda</w:t>
      </w:r>
      <w:r>
        <w:rPr>
          <w:rFonts w:cs="Times New Roman" w:ascii="Times New Roman" w:hAnsi="Times New Roman"/>
          <w:sz w:val="24"/>
          <w:szCs w:val="24"/>
        </w:rPr>
        <w:t xml:space="preserve"> (4,1%) constituem argumentos de um discurso mais à esquerda;</w:t>
      </w:r>
    </w:p>
    <w:p>
      <w:pPr>
        <w:pStyle w:val="ListParagraph"/>
        <w:numPr>
          <w:ilvl w:val="0"/>
          <w:numId w:val="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i/>
          <w:sz w:val="24"/>
          <w:szCs w:val="24"/>
        </w:rPr>
        <w:t>educação</w:t>
      </w:r>
      <w:r>
        <w:rPr>
          <w:rFonts w:cs="Times New Roman" w:ascii="Times New Roman" w:hAnsi="Times New Roman"/>
          <w:sz w:val="24"/>
          <w:szCs w:val="24"/>
        </w:rPr>
        <w:t xml:space="preserve"> (com 27,8% de citações) e </w:t>
      </w:r>
      <w:r>
        <w:rPr>
          <w:rFonts w:cs="Times New Roman" w:ascii="Times New Roman" w:hAnsi="Times New Roman"/>
          <w:i/>
          <w:sz w:val="24"/>
          <w:szCs w:val="24"/>
        </w:rPr>
        <w:t>crescimento econômico</w:t>
      </w:r>
      <w:r>
        <w:rPr>
          <w:rFonts w:cs="Times New Roman" w:ascii="Times New Roman" w:hAnsi="Times New Roman"/>
          <w:sz w:val="24"/>
          <w:szCs w:val="24"/>
        </w:rPr>
        <w:t xml:space="preserve"> (com 8,5%) podem ser consideradas elementos de caráter mais neutro, porque podem compor os discursos de um amplo espectro político, que vai de um campo mais à esquerda a outro mais à direita.</w:t>
      </w:r>
    </w:p>
    <w:p>
      <w:pPr>
        <w:pStyle w:val="Normal"/>
        <w:spacing w:lineRule="auto" w:line="360" w:before="0" w:after="0"/>
        <w:ind w:left="720" w:hanging="0"/>
        <w:jc w:val="both"/>
        <w:rPr>
          <w:rFonts w:ascii="Times New Roman" w:hAnsi="Times New Roman" w:cs="Times New Roman"/>
          <w:sz w:val="24"/>
          <w:szCs w:val="24"/>
        </w:rPr>
      </w:pPr>
      <w:r>
        <w:rPr>
          <w:rFonts w:cs="Times New Roman" w:ascii="Times New Roman" w:hAnsi="Times New Roman"/>
          <w:sz w:val="24"/>
          <w:szCs w:val="24"/>
        </w:rPr>
        <w:t xml:space="preserve">As opções aqui referidas como </w:t>
      </w:r>
      <w:r>
        <w:rPr>
          <w:rFonts w:cs="Times New Roman" w:ascii="Times New Roman" w:hAnsi="Times New Roman"/>
          <w:i/>
          <w:sz w:val="24"/>
          <w:szCs w:val="24"/>
        </w:rPr>
        <w:t>liberal-conservadoras</w:t>
      </w:r>
      <w:r>
        <w:rPr>
          <w:rFonts w:cs="Times New Roman" w:ascii="Times New Roman" w:hAnsi="Times New Roman"/>
          <w:sz w:val="24"/>
          <w:szCs w:val="24"/>
        </w:rPr>
        <w:t xml:space="preserve"> totalizaram 36,2%, as associadas a uma posição mais </w:t>
      </w:r>
      <w:r>
        <w:rPr>
          <w:rFonts w:cs="Times New Roman" w:ascii="Times New Roman" w:hAnsi="Times New Roman"/>
          <w:i/>
          <w:sz w:val="24"/>
          <w:szCs w:val="24"/>
        </w:rPr>
        <w:t>progressistas/de esquerda</w:t>
      </w:r>
      <w:r>
        <w:rPr>
          <w:rFonts w:cs="Times New Roman" w:ascii="Times New Roman" w:hAnsi="Times New Roman"/>
          <w:sz w:val="24"/>
          <w:szCs w:val="24"/>
        </w:rPr>
        <w:t xml:space="preserve">, 24,1%, e as tomadas como mais </w:t>
      </w:r>
      <w:r>
        <w:rPr>
          <w:rFonts w:cs="Times New Roman" w:ascii="Times New Roman" w:hAnsi="Times New Roman"/>
          <w:i/>
          <w:sz w:val="24"/>
          <w:szCs w:val="24"/>
        </w:rPr>
        <w:t>neutras</w:t>
      </w:r>
      <w:r>
        <w:rPr>
          <w:rFonts w:cs="Times New Roman" w:ascii="Times New Roman" w:hAnsi="Times New Roman"/>
          <w:sz w:val="24"/>
          <w:szCs w:val="24"/>
        </w:rPr>
        <w:t xml:space="preserve"> politicamente, 36,3%. Considere-se que em um contexto de forte polarização esquerda-direita, ao terceiro campo, que estamos tratando (com todas as aspas) como um campo neutro, foi reservado mais de um terço de espaço. De outra parte, em um contexto de forte apelo ao tema da corrupção na política, com as forças conservadoras em ascensão, uma posição secundária para a opção </w:t>
      </w:r>
      <w:r>
        <w:rPr>
          <w:rFonts w:cs="Times New Roman" w:ascii="Times New Roman" w:hAnsi="Times New Roman"/>
          <w:i/>
          <w:sz w:val="24"/>
          <w:szCs w:val="24"/>
        </w:rPr>
        <w:t>combate à corrupção</w:t>
      </w:r>
      <w:r>
        <w:rPr>
          <w:rFonts w:cs="Times New Roman" w:ascii="Times New Roman" w:hAnsi="Times New Roman"/>
          <w:sz w:val="24"/>
          <w:szCs w:val="24"/>
        </w:rPr>
        <w:t xml:space="preserve">, mesmo com o campo </w:t>
      </w:r>
      <w:r>
        <w:rPr>
          <w:rFonts w:cs="Times New Roman" w:ascii="Times New Roman" w:hAnsi="Times New Roman"/>
          <w:i/>
          <w:sz w:val="24"/>
          <w:szCs w:val="24"/>
        </w:rPr>
        <w:t>liberal-conservador</w:t>
      </w:r>
      <w:r>
        <w:rPr>
          <w:rFonts w:cs="Times New Roman" w:ascii="Times New Roman" w:hAnsi="Times New Roman"/>
          <w:sz w:val="24"/>
          <w:szCs w:val="24"/>
        </w:rPr>
        <w:t xml:space="preserve"> contabilizando o mesmo percentual de citações do campo </w:t>
      </w:r>
      <w:r>
        <w:rPr>
          <w:rFonts w:cs="Times New Roman" w:ascii="Times New Roman" w:hAnsi="Times New Roman"/>
          <w:i/>
          <w:sz w:val="24"/>
          <w:szCs w:val="24"/>
        </w:rPr>
        <w:t>neutro</w:t>
      </w:r>
      <w:r>
        <w:rPr>
          <w:rFonts w:cs="Times New Roman" w:ascii="Times New Roman" w:hAnsi="Times New Roman"/>
          <w:sz w:val="24"/>
          <w:szCs w:val="24"/>
        </w:rPr>
        <w:t xml:space="preserve"> e um tanto mais do que o campo </w:t>
      </w:r>
      <w:r>
        <w:rPr>
          <w:rFonts w:cs="Times New Roman" w:ascii="Times New Roman" w:hAnsi="Times New Roman"/>
          <w:i/>
          <w:sz w:val="24"/>
          <w:szCs w:val="24"/>
        </w:rPr>
        <w:t>progressista/de esquerda</w:t>
      </w:r>
      <w:r>
        <w:rPr>
          <w:rFonts w:cs="Times New Roman" w:ascii="Times New Roman" w:hAnsi="Times New Roman"/>
          <w:sz w:val="24"/>
          <w:szCs w:val="24"/>
        </w:rPr>
        <w:t>, talvez indique que os trabalhadores de TI da RMR não aderiram sem reservas à nova onda. Ver Gráficos 35.</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35 – Prioridades da gestão pública</w:t>
      </w:r>
    </w:p>
    <w:p>
      <w:pPr>
        <w:pStyle w:val="Normal"/>
        <w:spacing w:lineRule="auto" w:line="360" w:before="0" w:after="0"/>
        <w:ind w:firstLine="567"/>
        <w:jc w:val="both"/>
        <w:rPr>
          <w:rFonts w:ascii="Times New Roman" w:hAnsi="Times New Roman" w:cs="Times New Roman"/>
          <w:sz w:val="24"/>
          <w:szCs w:val="24"/>
        </w:rPr>
      </w:pPr>
      <w:r>
        <w:rPr/>
        <w:drawing>
          <wp:inline distT="0" distB="0" distL="0" distR="0">
            <wp:extent cx="4572000" cy="2299335"/>
            <wp:effectExtent l="0" t="0" r="0" b="0"/>
            <wp:docPr id="4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Normal"/>
        <w:spacing w:lineRule="auto" w:line="240" w:before="0" w:after="0"/>
        <w:ind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b/>
          <w:b/>
        </w:rPr>
      </w:pPr>
      <w:r>
        <w:rPr>
          <w:b/>
        </w:rPr>
        <w:t>2.9. Sindicato</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Ainda para os que se declararam sócios, inquiriu-se sobre o </w:t>
      </w:r>
      <w:r>
        <w:rPr>
          <w:rFonts w:cs="Times New Roman" w:ascii="Times New Roman" w:hAnsi="Times New Roman"/>
          <w:i/>
          <w:sz w:val="24"/>
          <w:szCs w:val="24"/>
        </w:rPr>
        <w:t>motivo principal</w:t>
      </w:r>
      <w:r>
        <w:rPr>
          <w:rFonts w:cs="Times New Roman" w:ascii="Times New Roman" w:hAnsi="Times New Roman"/>
          <w:sz w:val="24"/>
          <w:szCs w:val="24"/>
        </w:rPr>
        <w:t xml:space="preserve"> para tomar tal decisão. Importante constatar que a resposta majoritária (57,4%) partiu da identificação do Sindicato como um </w:t>
      </w:r>
      <w:r>
        <w:rPr>
          <w:rFonts w:cs="Times New Roman" w:ascii="Times New Roman" w:hAnsi="Times New Roman"/>
          <w:i/>
          <w:sz w:val="24"/>
          <w:szCs w:val="24"/>
        </w:rPr>
        <w:t>órgão de defesa dos trabalhadores</w:t>
      </w:r>
      <w:r>
        <w:rPr>
          <w:rFonts w:cs="Times New Roman" w:ascii="Times New Roman" w:hAnsi="Times New Roman"/>
          <w:sz w:val="24"/>
          <w:szCs w:val="24"/>
        </w:rPr>
        <w:t xml:space="preserve">, o que somado às opções o </w:t>
      </w:r>
      <w:r>
        <w:rPr>
          <w:rFonts w:cs="Times New Roman" w:ascii="Times New Roman" w:hAnsi="Times New Roman"/>
          <w:i/>
          <w:sz w:val="24"/>
          <w:szCs w:val="24"/>
        </w:rPr>
        <w:t>Sindicato tem uma posição combativa</w:t>
      </w:r>
      <w:r>
        <w:rPr>
          <w:rFonts w:cs="Times New Roman" w:ascii="Times New Roman" w:hAnsi="Times New Roman"/>
          <w:sz w:val="24"/>
          <w:szCs w:val="24"/>
        </w:rPr>
        <w:t xml:space="preserve"> (3,7%) e </w:t>
      </w:r>
      <w:r>
        <w:rPr>
          <w:rFonts w:cs="Times New Roman" w:ascii="Times New Roman" w:hAnsi="Times New Roman"/>
          <w:i/>
          <w:sz w:val="24"/>
          <w:szCs w:val="24"/>
        </w:rPr>
        <w:t>sente identificação política com a atuação do Sindicato</w:t>
      </w:r>
      <w:r>
        <w:rPr>
          <w:rFonts w:cs="Times New Roman" w:ascii="Times New Roman" w:hAnsi="Times New Roman"/>
          <w:sz w:val="24"/>
          <w:szCs w:val="24"/>
        </w:rPr>
        <w:t xml:space="preserve"> (3,7%), totalizaram 64,8% de respostas favoráveis à política do Sindicato. Contabilizaram-se ainda duas posições com menos convicção política: </w:t>
      </w:r>
      <w:r>
        <w:rPr>
          <w:rFonts w:cs="Times New Roman" w:ascii="Times New Roman" w:hAnsi="Times New Roman"/>
          <w:i/>
          <w:sz w:val="24"/>
          <w:szCs w:val="24"/>
        </w:rPr>
        <w:t>O Sindicato oferece serviços úteis</w:t>
      </w:r>
      <w:r>
        <w:rPr>
          <w:rFonts w:cs="Times New Roman" w:ascii="Times New Roman" w:hAnsi="Times New Roman"/>
          <w:sz w:val="24"/>
          <w:szCs w:val="24"/>
        </w:rPr>
        <w:t xml:space="preserve"> (6,5%) e </w:t>
      </w:r>
      <w:r>
        <w:rPr>
          <w:rFonts w:cs="Times New Roman" w:ascii="Times New Roman" w:hAnsi="Times New Roman"/>
          <w:i/>
          <w:sz w:val="24"/>
          <w:szCs w:val="24"/>
        </w:rPr>
        <w:t>não tem uma razão especial</w:t>
      </w:r>
      <w:r>
        <w:rPr>
          <w:rFonts w:cs="Times New Roman" w:ascii="Times New Roman" w:hAnsi="Times New Roman"/>
          <w:sz w:val="24"/>
          <w:szCs w:val="24"/>
        </w:rPr>
        <w:t xml:space="preserve"> (25,0%).</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36 – Principal motivo para ser sócio do Sindicato</w:t>
      </w:r>
    </w:p>
    <w:p>
      <w:pPr>
        <w:pStyle w:val="Normal"/>
        <w:spacing w:lineRule="auto" w:line="240" w:before="0" w:after="0"/>
        <w:jc w:val="center"/>
        <w:rPr>
          <w:rFonts w:ascii="Times New Roman" w:hAnsi="Times New Roman" w:cs="Times New Roman"/>
          <w:sz w:val="24"/>
          <w:szCs w:val="24"/>
        </w:rPr>
      </w:pPr>
      <w:r>
        <w:rPr/>
        <w:drawing>
          <wp:inline distT="0" distB="0" distL="0" distR="0">
            <wp:extent cx="3573145" cy="2176145"/>
            <wp:effectExtent l="0" t="0" r="0" b="0"/>
            <wp:docPr id="4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Para os não sócios foi perguntado </w:t>
      </w:r>
      <w:r>
        <w:rPr>
          <w:rFonts w:cs="Times New Roman" w:ascii="Times New Roman" w:hAnsi="Times New Roman"/>
          <w:i/>
          <w:sz w:val="24"/>
          <w:szCs w:val="24"/>
        </w:rPr>
        <w:t>o motivo principal para não se associar ao Sindicato</w:t>
      </w:r>
      <w:r>
        <w:rPr>
          <w:rFonts w:cs="Times New Roman" w:ascii="Times New Roman" w:hAnsi="Times New Roman"/>
          <w:sz w:val="24"/>
          <w:szCs w:val="24"/>
        </w:rPr>
        <w:t xml:space="preserve">. Neste caso, </w:t>
      </w:r>
      <w:r>
        <w:rPr>
          <w:rFonts w:cs="Times New Roman" w:ascii="Times New Roman" w:hAnsi="Times New Roman"/>
          <w:i/>
          <w:sz w:val="24"/>
          <w:szCs w:val="24"/>
        </w:rPr>
        <w:t>não ter uma razão especial foi o principal destaque</w:t>
      </w:r>
      <w:r>
        <w:rPr>
          <w:rFonts w:cs="Times New Roman" w:ascii="Times New Roman" w:hAnsi="Times New Roman"/>
          <w:sz w:val="24"/>
          <w:szCs w:val="24"/>
        </w:rPr>
        <w:t xml:space="preserve"> (37,8%), o que se supõe não haver da parte dos que assim responderam uma posição em princípio anti-sindical. A esses pode se somar os que atribuíram a não filiação o fato de </w:t>
      </w:r>
      <w:r>
        <w:rPr>
          <w:rFonts w:cs="Times New Roman" w:ascii="Times New Roman" w:hAnsi="Times New Roman"/>
          <w:i/>
          <w:sz w:val="24"/>
          <w:szCs w:val="24"/>
        </w:rPr>
        <w:t>não conhecerem o suficiente o Sindicato</w:t>
      </w:r>
      <w:r>
        <w:rPr>
          <w:rFonts w:cs="Times New Roman" w:ascii="Times New Roman" w:hAnsi="Times New Roman"/>
          <w:sz w:val="24"/>
          <w:szCs w:val="24"/>
        </w:rPr>
        <w:t xml:space="preserve">, os quais atingiram a segunda posição (22,3%). Na soma, 60,1% </w:t>
      </w:r>
      <w:r>
        <w:rPr>
          <w:rFonts w:cs="Times New Roman" w:ascii="Times New Roman" w:hAnsi="Times New Roman"/>
          <w:i/>
          <w:sz w:val="24"/>
          <w:szCs w:val="24"/>
        </w:rPr>
        <w:t>não tem razão especial</w:t>
      </w:r>
      <w:r>
        <w:rPr>
          <w:rFonts w:cs="Times New Roman" w:ascii="Times New Roman" w:hAnsi="Times New Roman"/>
          <w:sz w:val="24"/>
          <w:szCs w:val="24"/>
        </w:rPr>
        <w:t xml:space="preserve"> ou </w:t>
      </w:r>
      <w:r>
        <w:rPr>
          <w:rFonts w:cs="Times New Roman" w:ascii="Times New Roman" w:hAnsi="Times New Roman"/>
          <w:i/>
          <w:sz w:val="24"/>
          <w:szCs w:val="24"/>
        </w:rPr>
        <w:t>não conhece o suficiente</w:t>
      </w:r>
      <w:r>
        <w:rPr>
          <w:rFonts w:cs="Times New Roman" w:ascii="Times New Roman" w:hAnsi="Times New Roman"/>
          <w:sz w:val="24"/>
          <w:szCs w:val="24"/>
        </w:rPr>
        <w:t xml:space="preserve">. As posições mais reticentes obtiveram, por consequência, frequências bem mais baixas: </w:t>
      </w:r>
      <w:r>
        <w:rPr>
          <w:rFonts w:cs="Times New Roman" w:ascii="Times New Roman" w:hAnsi="Times New Roman"/>
          <w:i/>
          <w:sz w:val="24"/>
          <w:szCs w:val="24"/>
        </w:rPr>
        <w:t>não acredita em atuação de sindicatos</w:t>
      </w:r>
      <w:r>
        <w:rPr>
          <w:rFonts w:cs="Times New Roman" w:ascii="Times New Roman" w:hAnsi="Times New Roman"/>
          <w:sz w:val="24"/>
          <w:szCs w:val="24"/>
        </w:rPr>
        <w:t xml:space="preserve"> (17,3%), </w:t>
      </w:r>
      <w:r>
        <w:rPr>
          <w:rFonts w:cs="Times New Roman" w:ascii="Times New Roman" w:hAnsi="Times New Roman"/>
          <w:i/>
          <w:sz w:val="24"/>
          <w:szCs w:val="24"/>
        </w:rPr>
        <w:t>não vê vantagens em se associar ao Sindicato</w:t>
      </w:r>
      <w:r>
        <w:rPr>
          <w:rFonts w:cs="Times New Roman" w:ascii="Times New Roman" w:hAnsi="Times New Roman"/>
          <w:sz w:val="24"/>
          <w:szCs w:val="24"/>
        </w:rPr>
        <w:t xml:space="preserve"> (14,3%) e </w:t>
      </w:r>
      <w:r>
        <w:rPr>
          <w:rFonts w:cs="Times New Roman" w:ascii="Times New Roman" w:hAnsi="Times New Roman"/>
          <w:i/>
          <w:sz w:val="24"/>
          <w:szCs w:val="24"/>
        </w:rPr>
        <w:t>acha cara a mensalidade do Sindicato</w:t>
      </w:r>
      <w:r>
        <w:rPr>
          <w:rFonts w:cs="Times New Roman" w:ascii="Times New Roman" w:hAnsi="Times New Roman"/>
          <w:sz w:val="24"/>
          <w:szCs w:val="24"/>
        </w:rPr>
        <w:t xml:space="preserve"> (0,2%), totalizando 31,8%. Com tal posicionamento (em uma atitude mais reticente) se colocou, portanto, menos de um terço.</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37 – Principal motivo para não ser sócio do Sindicato</w:t>
      </w:r>
    </w:p>
    <w:p>
      <w:pPr>
        <w:pStyle w:val="Normal"/>
        <w:spacing w:lineRule="auto" w:line="240" w:before="0" w:after="0"/>
        <w:jc w:val="center"/>
        <w:rPr>
          <w:rFonts w:ascii="Times New Roman" w:hAnsi="Times New Roman" w:cs="Times New Roman"/>
          <w:sz w:val="24"/>
          <w:szCs w:val="24"/>
        </w:rPr>
      </w:pPr>
      <w:r>
        <w:rPr/>
        <w:drawing>
          <wp:inline distT="0" distB="0" distL="0" distR="0">
            <wp:extent cx="3470910" cy="1873885"/>
            <wp:effectExtent l="0" t="0" r="0" b="0"/>
            <wp:docPr id="4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Normal"/>
        <w:spacing w:lineRule="auto" w:line="240" w:before="0" w:after="0"/>
        <w:ind w:left="1416"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b/>
          <w:b/>
        </w:rPr>
      </w:pPr>
      <w:r>
        <w:rPr>
          <w:b/>
        </w:rPr>
        <w:t>2.11. Outras Opiniões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Na sequência, e por último, veio uma bateria de questões, que versaram sobre a </w:t>
      </w:r>
      <w:r>
        <w:rPr>
          <w:rFonts w:cs="Times New Roman" w:ascii="Times New Roman" w:hAnsi="Times New Roman"/>
          <w:i/>
          <w:sz w:val="24"/>
          <w:szCs w:val="24"/>
        </w:rPr>
        <w:t>Lei Maria da Penha</w:t>
      </w:r>
      <w:r>
        <w:rPr>
          <w:rFonts w:cs="Times New Roman" w:ascii="Times New Roman" w:hAnsi="Times New Roman"/>
          <w:sz w:val="24"/>
          <w:szCs w:val="24"/>
        </w:rPr>
        <w:t xml:space="preserve">, a </w:t>
      </w:r>
      <w:r>
        <w:rPr>
          <w:rFonts w:cs="Times New Roman" w:ascii="Times New Roman" w:hAnsi="Times New Roman"/>
          <w:i/>
          <w:sz w:val="24"/>
          <w:szCs w:val="24"/>
        </w:rPr>
        <w:t>redução da maioridade penal</w:t>
      </w:r>
      <w:r>
        <w:rPr>
          <w:rFonts w:cs="Times New Roman" w:ascii="Times New Roman" w:hAnsi="Times New Roman"/>
          <w:sz w:val="24"/>
          <w:szCs w:val="24"/>
        </w:rPr>
        <w:t xml:space="preserve">, a </w:t>
      </w:r>
      <w:r>
        <w:rPr>
          <w:rFonts w:cs="Times New Roman" w:ascii="Times New Roman" w:hAnsi="Times New Roman"/>
          <w:i/>
          <w:sz w:val="24"/>
          <w:szCs w:val="24"/>
        </w:rPr>
        <w:t>pena de morte</w:t>
      </w:r>
      <w:r>
        <w:rPr>
          <w:rFonts w:cs="Times New Roman" w:ascii="Times New Roman" w:hAnsi="Times New Roman"/>
          <w:sz w:val="24"/>
          <w:szCs w:val="24"/>
        </w:rPr>
        <w:t xml:space="preserve">, </w:t>
      </w:r>
      <w:r>
        <w:rPr>
          <w:rFonts w:cs="Times New Roman" w:ascii="Times New Roman" w:hAnsi="Times New Roman"/>
          <w:i/>
          <w:sz w:val="24"/>
          <w:szCs w:val="24"/>
        </w:rPr>
        <w:t>cotas raciais nas universidades</w:t>
      </w:r>
      <w:r>
        <w:rPr>
          <w:rFonts w:cs="Times New Roman" w:ascii="Times New Roman" w:hAnsi="Times New Roman"/>
          <w:sz w:val="24"/>
          <w:szCs w:val="24"/>
        </w:rPr>
        <w:t xml:space="preserve">, </w:t>
      </w:r>
      <w:r>
        <w:rPr>
          <w:rFonts w:cs="Times New Roman" w:ascii="Times New Roman" w:hAnsi="Times New Roman"/>
          <w:i/>
          <w:sz w:val="24"/>
          <w:szCs w:val="24"/>
        </w:rPr>
        <w:t>cotas para alunos de escolas públicas</w:t>
      </w:r>
      <w:r>
        <w:rPr>
          <w:rFonts w:cs="Times New Roman" w:ascii="Times New Roman" w:hAnsi="Times New Roman"/>
          <w:sz w:val="24"/>
          <w:szCs w:val="24"/>
        </w:rPr>
        <w:t xml:space="preserve">, a </w:t>
      </w:r>
      <w:r>
        <w:rPr>
          <w:rFonts w:cs="Times New Roman" w:ascii="Times New Roman" w:hAnsi="Times New Roman"/>
          <w:i/>
          <w:sz w:val="24"/>
          <w:szCs w:val="24"/>
        </w:rPr>
        <w:t>Reforma da Previdência</w:t>
      </w:r>
      <w:r>
        <w:rPr>
          <w:rFonts w:cs="Times New Roman" w:ascii="Times New Roman" w:hAnsi="Times New Roman"/>
          <w:sz w:val="24"/>
          <w:szCs w:val="24"/>
        </w:rPr>
        <w:t xml:space="preserve">, a </w:t>
      </w:r>
      <w:r>
        <w:rPr>
          <w:rFonts w:cs="Times New Roman" w:ascii="Times New Roman" w:hAnsi="Times New Roman"/>
          <w:i/>
          <w:sz w:val="24"/>
          <w:szCs w:val="24"/>
        </w:rPr>
        <w:t>privatização da Petrobrás</w:t>
      </w:r>
      <w:r>
        <w:rPr>
          <w:rFonts w:cs="Times New Roman" w:ascii="Times New Roman" w:hAnsi="Times New Roman"/>
          <w:sz w:val="24"/>
          <w:szCs w:val="24"/>
        </w:rPr>
        <w:t xml:space="preserve">, o </w:t>
      </w:r>
      <w:r>
        <w:rPr>
          <w:rFonts w:cs="Times New Roman" w:ascii="Times New Roman" w:hAnsi="Times New Roman"/>
          <w:i/>
          <w:sz w:val="24"/>
          <w:szCs w:val="24"/>
        </w:rPr>
        <w:t>direito ao aborto em caso de risco de vida para a mãe</w:t>
      </w:r>
      <w:r>
        <w:rPr>
          <w:rFonts w:cs="Times New Roman" w:ascii="Times New Roman" w:hAnsi="Times New Roman"/>
          <w:sz w:val="24"/>
          <w:szCs w:val="24"/>
        </w:rPr>
        <w:t xml:space="preserve">, o </w:t>
      </w:r>
      <w:r>
        <w:rPr>
          <w:rFonts w:cs="Times New Roman" w:ascii="Times New Roman" w:hAnsi="Times New Roman"/>
          <w:i/>
          <w:sz w:val="24"/>
          <w:szCs w:val="24"/>
        </w:rPr>
        <w:t>direito ao aborto em caso de estupro</w:t>
      </w:r>
      <w:r>
        <w:rPr>
          <w:rFonts w:cs="Times New Roman" w:ascii="Times New Roman" w:hAnsi="Times New Roman"/>
          <w:sz w:val="24"/>
          <w:szCs w:val="24"/>
        </w:rPr>
        <w:t xml:space="preserve">, a </w:t>
      </w:r>
      <w:r>
        <w:rPr>
          <w:rFonts w:cs="Times New Roman" w:ascii="Times New Roman" w:hAnsi="Times New Roman"/>
          <w:i/>
          <w:sz w:val="24"/>
          <w:szCs w:val="24"/>
        </w:rPr>
        <w:t>liberalização da maconha para fins medicinais</w:t>
      </w:r>
      <w:r>
        <w:rPr>
          <w:rFonts w:cs="Times New Roman" w:ascii="Times New Roman" w:hAnsi="Times New Roman"/>
          <w:sz w:val="24"/>
          <w:szCs w:val="24"/>
        </w:rPr>
        <w:t xml:space="preserve"> e o </w:t>
      </w:r>
      <w:r>
        <w:rPr>
          <w:rFonts w:cs="Times New Roman" w:ascii="Times New Roman" w:hAnsi="Times New Roman"/>
          <w:i/>
          <w:sz w:val="24"/>
          <w:szCs w:val="24"/>
        </w:rPr>
        <w:t>direito de casamento para pessoas do mesmo sexo</w:t>
      </w:r>
      <w:r>
        <w:rPr>
          <w:rFonts w:cs="Times New Roman" w:ascii="Times New Roman" w:hAnsi="Times New Roman"/>
          <w:sz w:val="24"/>
          <w:szCs w:val="24"/>
        </w:rPr>
        <w:t xml:space="preserve">. Para cada um desses temas foram disponibilizadas  4 opções: </w:t>
      </w:r>
      <w:r>
        <w:rPr>
          <w:rFonts w:cs="Times New Roman" w:ascii="Times New Roman" w:hAnsi="Times New Roman"/>
          <w:i/>
          <w:sz w:val="24"/>
          <w:szCs w:val="24"/>
        </w:rPr>
        <w:t>a favor</w:t>
      </w:r>
      <w:r>
        <w:rPr>
          <w:rFonts w:cs="Times New Roman" w:ascii="Times New Roman" w:hAnsi="Times New Roman"/>
          <w:sz w:val="24"/>
          <w:szCs w:val="24"/>
        </w:rPr>
        <w:t xml:space="preserve">, </w:t>
      </w:r>
      <w:r>
        <w:rPr>
          <w:rFonts w:cs="Times New Roman" w:ascii="Times New Roman" w:hAnsi="Times New Roman"/>
          <w:i/>
          <w:sz w:val="24"/>
          <w:szCs w:val="24"/>
        </w:rPr>
        <w:t>contra</w:t>
      </w:r>
      <w:r>
        <w:rPr>
          <w:rFonts w:cs="Times New Roman" w:ascii="Times New Roman" w:hAnsi="Times New Roman"/>
          <w:sz w:val="24"/>
          <w:szCs w:val="24"/>
        </w:rPr>
        <w:t xml:space="preserve">, </w:t>
      </w:r>
      <w:r>
        <w:rPr>
          <w:rFonts w:cs="Times New Roman" w:ascii="Times New Roman" w:hAnsi="Times New Roman"/>
          <w:i/>
          <w:sz w:val="24"/>
          <w:szCs w:val="24"/>
        </w:rPr>
        <w:t>não sabe</w:t>
      </w:r>
      <w:r>
        <w:rPr>
          <w:rFonts w:cs="Times New Roman" w:ascii="Times New Roman" w:hAnsi="Times New Roman"/>
          <w:sz w:val="24"/>
          <w:szCs w:val="24"/>
        </w:rPr>
        <w:t xml:space="preserve"> e </w:t>
      </w:r>
      <w:r>
        <w:rPr>
          <w:rFonts w:cs="Times New Roman" w:ascii="Times New Roman" w:hAnsi="Times New Roman"/>
          <w:i/>
          <w:sz w:val="24"/>
          <w:szCs w:val="24"/>
        </w:rPr>
        <w:t>não quer opinar</w:t>
      </w:r>
      <w:r>
        <w:rPr>
          <w:rFonts w:cs="Times New Roman" w:ascii="Times New Roman" w:hAnsi="Times New Roman"/>
          <w:sz w:val="24"/>
          <w:szCs w:val="24"/>
        </w:rPr>
        <w:t>.</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 partir do Gráfico 38, podemos analisar as respostas para cada tema. As constatações mais importantes:</w:t>
      </w:r>
    </w:p>
    <w:p>
      <w:pPr>
        <w:pStyle w:val="Normal"/>
        <w:numPr>
          <w:ilvl w:val="0"/>
          <w:numId w:val="3"/>
        </w:numPr>
        <w:spacing w:lineRule="atLeast" w:line="40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As respostas se mostraram, em geral, muito convictas, com baixos percentuais destinados às opções </w:t>
      </w:r>
      <w:r>
        <w:rPr>
          <w:rFonts w:cs="Times New Roman" w:ascii="Times New Roman" w:hAnsi="Times New Roman"/>
          <w:i/>
          <w:color w:val="000000" w:themeColor="text1"/>
          <w:sz w:val="24"/>
          <w:szCs w:val="24"/>
        </w:rPr>
        <w:t>não sabe</w:t>
      </w:r>
      <w:r>
        <w:rPr>
          <w:rFonts w:cs="Times New Roman" w:ascii="Times New Roman" w:hAnsi="Times New Roman"/>
          <w:color w:val="000000" w:themeColor="text1"/>
          <w:sz w:val="24"/>
          <w:szCs w:val="24"/>
        </w:rPr>
        <w:t xml:space="preserve"> e </w:t>
      </w:r>
      <w:r>
        <w:rPr>
          <w:rFonts w:cs="Times New Roman" w:ascii="Times New Roman" w:hAnsi="Times New Roman"/>
          <w:i/>
          <w:color w:val="000000" w:themeColor="text1"/>
          <w:sz w:val="24"/>
          <w:szCs w:val="24"/>
        </w:rPr>
        <w:t>não quer opinar</w:t>
      </w:r>
      <w:r>
        <w:rPr>
          <w:rFonts w:cs="Times New Roman" w:ascii="Times New Roman" w:hAnsi="Times New Roman"/>
          <w:color w:val="000000" w:themeColor="text1"/>
          <w:sz w:val="24"/>
          <w:szCs w:val="24"/>
        </w:rPr>
        <w:t>.</w:t>
      </w:r>
    </w:p>
    <w:p>
      <w:pPr>
        <w:pStyle w:val="Normal"/>
        <w:numPr>
          <w:ilvl w:val="0"/>
          <w:numId w:val="3"/>
        </w:numPr>
        <w:spacing w:lineRule="atLeast" w:line="40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A </w:t>
      </w:r>
      <w:r>
        <w:rPr>
          <w:rFonts w:cs="Times New Roman" w:ascii="Times New Roman" w:hAnsi="Times New Roman"/>
          <w:i/>
          <w:color w:val="000000" w:themeColor="text1"/>
          <w:sz w:val="24"/>
          <w:szCs w:val="24"/>
        </w:rPr>
        <w:t>Lei Maria da Penha</w:t>
      </w:r>
      <w:r>
        <w:rPr>
          <w:rFonts w:cs="Times New Roman" w:ascii="Times New Roman" w:hAnsi="Times New Roman"/>
          <w:color w:val="000000" w:themeColor="text1"/>
          <w:sz w:val="24"/>
          <w:szCs w:val="24"/>
        </w:rPr>
        <w:t xml:space="preserve"> consistiu praticamente em uma unanimidade.</w:t>
      </w:r>
    </w:p>
    <w:p>
      <w:pPr>
        <w:pStyle w:val="Normal"/>
        <w:numPr>
          <w:ilvl w:val="0"/>
          <w:numId w:val="3"/>
        </w:numPr>
        <w:spacing w:lineRule="atLeast" w:line="40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Expressiva maioria (68,0%) se declarou a favor da </w:t>
      </w:r>
      <w:r>
        <w:rPr>
          <w:rFonts w:cs="Times New Roman" w:ascii="Times New Roman" w:hAnsi="Times New Roman"/>
          <w:i/>
          <w:color w:val="000000" w:themeColor="text1"/>
          <w:sz w:val="24"/>
          <w:szCs w:val="24"/>
        </w:rPr>
        <w:t>redução da maioridade penal</w:t>
      </w:r>
      <w:r>
        <w:rPr>
          <w:rFonts w:cs="Times New Roman" w:ascii="Times New Roman" w:hAnsi="Times New Roman"/>
          <w:color w:val="000000" w:themeColor="text1"/>
          <w:sz w:val="24"/>
          <w:szCs w:val="24"/>
        </w:rPr>
        <w:t xml:space="preserve"> (sendo maior a proporção entre os trabalhadores das empresas privadas), enquanto apenas uma minoria (31,1%) se disse a favor da </w:t>
      </w:r>
      <w:r>
        <w:rPr>
          <w:rFonts w:cs="Times New Roman" w:ascii="Times New Roman" w:hAnsi="Times New Roman"/>
          <w:i/>
          <w:color w:val="000000" w:themeColor="text1"/>
          <w:sz w:val="24"/>
          <w:szCs w:val="24"/>
        </w:rPr>
        <w:t>pena de morte</w:t>
      </w:r>
      <w:r>
        <w:rPr>
          <w:rFonts w:cs="Times New Roman" w:ascii="Times New Roman" w:hAnsi="Times New Roman"/>
          <w:color w:val="000000" w:themeColor="text1"/>
          <w:sz w:val="24"/>
          <w:szCs w:val="24"/>
        </w:rPr>
        <w:t xml:space="preserve"> (sendo maior a proporção entre os trabalhadores das empresas privadas).</w:t>
      </w:r>
    </w:p>
    <w:p>
      <w:pPr>
        <w:pStyle w:val="Normal"/>
        <w:numPr>
          <w:ilvl w:val="0"/>
          <w:numId w:val="3"/>
        </w:numPr>
        <w:spacing w:lineRule="atLeast" w:line="40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Uma minoria (38,4%) disse concordar com as </w:t>
      </w:r>
      <w:r>
        <w:rPr>
          <w:rFonts w:cs="Times New Roman" w:ascii="Times New Roman" w:hAnsi="Times New Roman"/>
          <w:i/>
          <w:color w:val="000000" w:themeColor="text1"/>
          <w:sz w:val="24"/>
          <w:szCs w:val="24"/>
        </w:rPr>
        <w:t>cotas raciais</w:t>
      </w:r>
      <w:r>
        <w:rPr>
          <w:rFonts w:cs="Times New Roman" w:ascii="Times New Roman" w:hAnsi="Times New Roman"/>
          <w:color w:val="000000" w:themeColor="text1"/>
          <w:sz w:val="24"/>
          <w:szCs w:val="24"/>
        </w:rPr>
        <w:t xml:space="preserve">, enquanto uma maioria expressiva (71,4%) se declarou a favor das </w:t>
      </w:r>
      <w:r>
        <w:rPr>
          <w:rFonts w:cs="Times New Roman" w:ascii="Times New Roman" w:hAnsi="Times New Roman"/>
          <w:i/>
          <w:color w:val="000000" w:themeColor="text1"/>
          <w:sz w:val="24"/>
          <w:szCs w:val="24"/>
        </w:rPr>
        <w:t>cotas para alunos de escolas públicas</w:t>
      </w:r>
      <w:r>
        <w:rPr>
          <w:rFonts w:cs="Times New Roman" w:ascii="Times New Roman" w:hAnsi="Times New Roman"/>
          <w:color w:val="000000" w:themeColor="text1"/>
          <w:sz w:val="24"/>
          <w:szCs w:val="24"/>
        </w:rPr>
        <w:t xml:space="preserve"> (em ambos os casos observaram-se praticamente as mesmas proporções entre empresas privadas e públicas).</w:t>
      </w:r>
    </w:p>
    <w:p>
      <w:pPr>
        <w:pStyle w:val="Normal"/>
        <w:numPr>
          <w:ilvl w:val="0"/>
          <w:numId w:val="3"/>
        </w:numPr>
        <w:spacing w:lineRule="atLeast" w:line="40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Reduzidas parcelas dos respondentes se disseram a favor da </w:t>
      </w:r>
      <w:r>
        <w:rPr>
          <w:rFonts w:cs="Times New Roman" w:ascii="Times New Roman" w:hAnsi="Times New Roman"/>
          <w:i/>
          <w:color w:val="000000" w:themeColor="text1"/>
          <w:sz w:val="24"/>
          <w:szCs w:val="24"/>
        </w:rPr>
        <w:t>Reforma da Previdência</w:t>
      </w:r>
      <w:r>
        <w:rPr>
          <w:rFonts w:cs="Times New Roman" w:ascii="Times New Roman" w:hAnsi="Times New Roman"/>
          <w:color w:val="000000" w:themeColor="text1"/>
          <w:sz w:val="24"/>
          <w:szCs w:val="24"/>
        </w:rPr>
        <w:t xml:space="preserve"> (19,5%) e da </w:t>
      </w:r>
      <w:r>
        <w:rPr>
          <w:rFonts w:cs="Times New Roman" w:ascii="Times New Roman" w:hAnsi="Times New Roman"/>
          <w:i/>
          <w:color w:val="000000" w:themeColor="text1"/>
          <w:sz w:val="24"/>
          <w:szCs w:val="24"/>
        </w:rPr>
        <w:t>privatização da Petrobrás</w:t>
      </w:r>
      <w:r>
        <w:rPr>
          <w:rFonts w:cs="Times New Roman" w:ascii="Times New Roman" w:hAnsi="Times New Roman"/>
          <w:color w:val="000000" w:themeColor="text1"/>
          <w:sz w:val="24"/>
          <w:szCs w:val="24"/>
        </w:rPr>
        <w:t xml:space="preserve"> (29,3%), sendo que proporções bem maiores foram observadas, em ambos os caos, entre os entrevistados de empresas privadas.</w:t>
      </w:r>
    </w:p>
    <w:p>
      <w:pPr>
        <w:pStyle w:val="Normal"/>
        <w:numPr>
          <w:ilvl w:val="0"/>
          <w:numId w:val="3"/>
        </w:numPr>
        <w:spacing w:lineRule="atLeast" w:line="40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Grande maioria se expressou a favor do </w:t>
      </w:r>
      <w:r>
        <w:rPr>
          <w:rFonts w:cs="Times New Roman" w:ascii="Times New Roman" w:hAnsi="Times New Roman"/>
          <w:i/>
          <w:color w:val="000000" w:themeColor="text1"/>
          <w:sz w:val="24"/>
          <w:szCs w:val="24"/>
        </w:rPr>
        <w:t>direito de aborto em casos de risco de vida para a mãe</w:t>
      </w:r>
      <w:r>
        <w:rPr>
          <w:rFonts w:cs="Times New Roman" w:ascii="Times New Roman" w:hAnsi="Times New Roman"/>
          <w:color w:val="000000" w:themeColor="text1"/>
          <w:sz w:val="24"/>
          <w:szCs w:val="24"/>
        </w:rPr>
        <w:t xml:space="preserve"> e </w:t>
      </w:r>
      <w:r>
        <w:rPr>
          <w:rFonts w:cs="Times New Roman" w:ascii="Times New Roman" w:hAnsi="Times New Roman"/>
          <w:i/>
          <w:color w:val="000000" w:themeColor="text1"/>
          <w:sz w:val="24"/>
          <w:szCs w:val="24"/>
        </w:rPr>
        <w:t>de estupro</w:t>
      </w:r>
      <w:r>
        <w:rPr>
          <w:rFonts w:cs="Times New Roman" w:ascii="Times New Roman" w:hAnsi="Times New Roman"/>
          <w:color w:val="000000" w:themeColor="text1"/>
          <w:sz w:val="24"/>
          <w:szCs w:val="24"/>
        </w:rPr>
        <w:t xml:space="preserve"> (73,8% e 73,2%, respectivamente), sendo que neste último caso em proporção menor entre os trabalhadores de empresas públicas.</w:t>
      </w:r>
    </w:p>
    <w:p>
      <w:pPr>
        <w:pStyle w:val="Normal"/>
        <w:numPr>
          <w:ilvl w:val="0"/>
          <w:numId w:val="3"/>
        </w:numPr>
        <w:spacing w:lineRule="atLeast" w:line="40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Esmagadora maioria se disse a favor da </w:t>
      </w:r>
      <w:r>
        <w:rPr>
          <w:rFonts w:cs="Times New Roman" w:ascii="Times New Roman" w:hAnsi="Times New Roman"/>
          <w:i/>
          <w:color w:val="000000" w:themeColor="text1"/>
          <w:sz w:val="24"/>
          <w:szCs w:val="24"/>
        </w:rPr>
        <w:t>liberalização da maconha</w:t>
      </w:r>
      <w:r>
        <w:rPr>
          <w:rFonts w:cs="Times New Roman" w:ascii="Times New Roman" w:hAnsi="Times New Roman"/>
          <w:color w:val="000000" w:themeColor="text1"/>
          <w:sz w:val="24"/>
          <w:szCs w:val="24"/>
        </w:rPr>
        <w:t xml:space="preserve"> (84,4%), em proporções convergentes.</w:t>
      </w:r>
    </w:p>
    <w:p>
      <w:pPr>
        <w:pStyle w:val="Normal"/>
        <w:numPr>
          <w:ilvl w:val="0"/>
          <w:numId w:val="3"/>
        </w:numPr>
        <w:spacing w:lineRule="atLeast" w:line="40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Ampla maioria, porém em menor proporção (68,9%), se disse a favor do </w:t>
      </w:r>
      <w:r>
        <w:rPr>
          <w:rFonts w:cs="Times New Roman" w:ascii="Times New Roman" w:hAnsi="Times New Roman"/>
          <w:i/>
          <w:color w:val="000000" w:themeColor="text1"/>
          <w:sz w:val="24"/>
          <w:szCs w:val="24"/>
        </w:rPr>
        <w:t>casamento entre pessoas do mesmo sexo</w:t>
      </w:r>
      <w:r>
        <w:rPr>
          <w:rFonts w:cs="Times New Roman" w:ascii="Times New Roman" w:hAnsi="Times New Roman"/>
          <w:color w:val="000000" w:themeColor="text1"/>
          <w:sz w:val="24"/>
          <w:szCs w:val="24"/>
        </w:rPr>
        <w:t>, sendo em menor proporção entre os trabalhadores de empresas públicas.</w:t>
      </w:r>
    </w:p>
    <w:p>
      <w:pPr>
        <w:pStyle w:val="Normal"/>
        <w:numPr>
          <w:ilvl w:val="0"/>
          <w:numId w:val="3"/>
        </w:numPr>
        <w:spacing w:lineRule="atLeast" w:line="40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Em uma síntese geral, podemos dizer que prevaleceu amplamente as posições mais identificadas com uma </w:t>
      </w:r>
      <w:r>
        <w:rPr>
          <w:rFonts w:cs="Times New Roman" w:ascii="Times New Roman" w:hAnsi="Times New Roman"/>
          <w:i/>
          <w:color w:val="000000" w:themeColor="text1"/>
          <w:sz w:val="24"/>
          <w:szCs w:val="24"/>
        </w:rPr>
        <w:t>visão progressista</w:t>
      </w:r>
      <w:r>
        <w:rPr>
          <w:rFonts w:cs="Times New Roman" w:ascii="Times New Roman" w:hAnsi="Times New Roman"/>
          <w:color w:val="000000" w:themeColor="text1"/>
          <w:sz w:val="24"/>
          <w:szCs w:val="24"/>
        </w:rPr>
        <w:t xml:space="preserve"> dos temas político-comportamentais, contra uma perspectiva mais </w:t>
      </w:r>
      <w:r>
        <w:rPr>
          <w:rFonts w:cs="Times New Roman" w:ascii="Times New Roman" w:hAnsi="Times New Roman"/>
          <w:i/>
          <w:color w:val="000000" w:themeColor="text1"/>
          <w:sz w:val="24"/>
          <w:szCs w:val="24"/>
        </w:rPr>
        <w:t>conservadora-liberal</w:t>
      </w:r>
      <w:r>
        <w:rPr>
          <w:rFonts w:cs="Times New Roman" w:ascii="Times New Roman" w:hAnsi="Times New Roman"/>
          <w:color w:val="000000" w:themeColor="text1"/>
          <w:sz w:val="24"/>
          <w:szCs w:val="24"/>
        </w:rPr>
        <w:t xml:space="preserve">. Na primeira categoria estão os que se posicionaram a favor da </w:t>
      </w:r>
      <w:r>
        <w:rPr>
          <w:rFonts w:cs="Times New Roman" w:ascii="Times New Roman" w:hAnsi="Times New Roman"/>
          <w:i/>
          <w:color w:val="000000" w:themeColor="text1"/>
          <w:sz w:val="24"/>
          <w:szCs w:val="24"/>
        </w:rPr>
        <w:t>Lei Maria da Penha</w:t>
      </w:r>
      <w:r>
        <w:rPr>
          <w:rFonts w:cs="Times New Roman" w:ascii="Times New Roman" w:hAnsi="Times New Roman"/>
          <w:color w:val="000000" w:themeColor="text1"/>
          <w:sz w:val="24"/>
          <w:szCs w:val="24"/>
        </w:rPr>
        <w:t xml:space="preserve">, das </w:t>
      </w:r>
      <w:r>
        <w:rPr>
          <w:rFonts w:cs="Times New Roman" w:ascii="Times New Roman" w:hAnsi="Times New Roman"/>
          <w:i/>
          <w:color w:val="000000" w:themeColor="text1"/>
          <w:sz w:val="24"/>
          <w:szCs w:val="24"/>
        </w:rPr>
        <w:t>cotas para alunos de escolas públicas</w:t>
      </w:r>
      <w:r>
        <w:rPr>
          <w:rFonts w:cs="Times New Roman" w:ascii="Times New Roman" w:hAnsi="Times New Roman"/>
          <w:color w:val="000000" w:themeColor="text1"/>
          <w:sz w:val="24"/>
          <w:szCs w:val="24"/>
        </w:rPr>
        <w:t xml:space="preserve">, do </w:t>
      </w:r>
      <w:r>
        <w:rPr>
          <w:rFonts w:cs="Times New Roman" w:ascii="Times New Roman" w:hAnsi="Times New Roman"/>
          <w:i/>
          <w:color w:val="000000" w:themeColor="text1"/>
          <w:sz w:val="24"/>
          <w:szCs w:val="24"/>
        </w:rPr>
        <w:t>direito de aborto em caso de risco para a mãe</w:t>
      </w:r>
      <w:r>
        <w:rPr>
          <w:rFonts w:cs="Times New Roman" w:ascii="Times New Roman" w:hAnsi="Times New Roman"/>
          <w:color w:val="000000" w:themeColor="text1"/>
          <w:sz w:val="24"/>
          <w:szCs w:val="24"/>
        </w:rPr>
        <w:t xml:space="preserve"> e </w:t>
      </w:r>
      <w:r>
        <w:rPr>
          <w:rFonts w:cs="Times New Roman" w:ascii="Times New Roman" w:hAnsi="Times New Roman"/>
          <w:i/>
          <w:color w:val="000000" w:themeColor="text1"/>
          <w:sz w:val="24"/>
          <w:szCs w:val="24"/>
        </w:rPr>
        <w:t>de estupro</w:t>
      </w:r>
      <w:r>
        <w:rPr>
          <w:rFonts w:cs="Times New Roman" w:ascii="Times New Roman" w:hAnsi="Times New Roman"/>
          <w:color w:val="000000" w:themeColor="text1"/>
          <w:sz w:val="24"/>
          <w:szCs w:val="24"/>
        </w:rPr>
        <w:t xml:space="preserve">, da </w:t>
      </w:r>
      <w:r>
        <w:rPr>
          <w:rFonts w:cs="Times New Roman" w:ascii="Times New Roman" w:hAnsi="Times New Roman"/>
          <w:i/>
          <w:color w:val="000000" w:themeColor="text1"/>
          <w:sz w:val="24"/>
          <w:szCs w:val="24"/>
        </w:rPr>
        <w:t>liberalização da maconha para uso medicinal</w:t>
      </w:r>
      <w:r>
        <w:rPr>
          <w:rFonts w:cs="Times New Roman" w:ascii="Times New Roman" w:hAnsi="Times New Roman"/>
          <w:color w:val="000000" w:themeColor="text1"/>
          <w:sz w:val="24"/>
          <w:szCs w:val="24"/>
        </w:rPr>
        <w:t xml:space="preserve"> e do </w:t>
      </w:r>
      <w:r>
        <w:rPr>
          <w:rFonts w:cs="Times New Roman" w:ascii="Times New Roman" w:hAnsi="Times New Roman"/>
          <w:i/>
          <w:color w:val="000000" w:themeColor="text1"/>
          <w:sz w:val="24"/>
          <w:szCs w:val="24"/>
        </w:rPr>
        <w:t>direito de casamento entre pessoas do mesmo sexo</w:t>
      </w:r>
      <w:r>
        <w:rPr>
          <w:rFonts w:cs="Times New Roman" w:ascii="Times New Roman" w:hAnsi="Times New Roman"/>
          <w:color w:val="000000" w:themeColor="text1"/>
          <w:sz w:val="24"/>
          <w:szCs w:val="24"/>
        </w:rPr>
        <w:t xml:space="preserve">, além de posições contrárias à </w:t>
      </w:r>
      <w:r>
        <w:rPr>
          <w:rFonts w:cs="Times New Roman" w:ascii="Times New Roman" w:hAnsi="Times New Roman"/>
          <w:i/>
          <w:color w:val="000000" w:themeColor="text1"/>
          <w:sz w:val="24"/>
          <w:szCs w:val="24"/>
        </w:rPr>
        <w:t>pena de morte</w:t>
      </w:r>
      <w:r>
        <w:rPr>
          <w:rFonts w:cs="Times New Roman" w:ascii="Times New Roman" w:hAnsi="Times New Roman"/>
          <w:color w:val="000000" w:themeColor="text1"/>
          <w:sz w:val="24"/>
          <w:szCs w:val="24"/>
        </w:rPr>
        <w:t xml:space="preserve">, à </w:t>
      </w:r>
      <w:r>
        <w:rPr>
          <w:rFonts w:cs="Times New Roman" w:ascii="Times New Roman" w:hAnsi="Times New Roman"/>
          <w:i/>
          <w:color w:val="000000" w:themeColor="text1"/>
          <w:sz w:val="24"/>
          <w:szCs w:val="24"/>
        </w:rPr>
        <w:t>Reforma da Previdência</w:t>
      </w:r>
      <w:r>
        <w:rPr>
          <w:rFonts w:cs="Times New Roman" w:ascii="Times New Roman" w:hAnsi="Times New Roman"/>
          <w:color w:val="000000" w:themeColor="text1"/>
          <w:sz w:val="24"/>
          <w:szCs w:val="24"/>
        </w:rPr>
        <w:t xml:space="preserve"> e à </w:t>
      </w:r>
      <w:r>
        <w:rPr>
          <w:rFonts w:cs="Times New Roman" w:ascii="Times New Roman" w:hAnsi="Times New Roman"/>
          <w:i/>
          <w:color w:val="000000" w:themeColor="text1"/>
          <w:sz w:val="24"/>
          <w:szCs w:val="24"/>
        </w:rPr>
        <w:t>privatização da Petrobrás</w:t>
      </w:r>
      <w:r>
        <w:rPr>
          <w:rFonts w:cs="Times New Roman" w:ascii="Times New Roman" w:hAnsi="Times New Roman"/>
          <w:color w:val="000000" w:themeColor="text1"/>
          <w:sz w:val="24"/>
          <w:szCs w:val="24"/>
        </w:rPr>
        <w:t xml:space="preserve">. Na segunda categoria se posicionaram a favor da </w:t>
      </w:r>
      <w:r>
        <w:rPr>
          <w:rFonts w:cs="Times New Roman" w:ascii="Times New Roman" w:hAnsi="Times New Roman"/>
          <w:i/>
          <w:color w:val="000000" w:themeColor="text1"/>
          <w:sz w:val="24"/>
          <w:szCs w:val="24"/>
        </w:rPr>
        <w:t>redução da maioridade penal</w:t>
      </w:r>
      <w:r>
        <w:rPr>
          <w:rFonts w:cs="Times New Roman" w:ascii="Times New Roman" w:hAnsi="Times New Roman"/>
          <w:color w:val="000000" w:themeColor="text1"/>
          <w:sz w:val="24"/>
          <w:szCs w:val="24"/>
        </w:rPr>
        <w:t xml:space="preserve"> e contra as </w:t>
      </w:r>
      <w:r>
        <w:rPr>
          <w:rFonts w:cs="Times New Roman" w:ascii="Times New Roman" w:hAnsi="Times New Roman"/>
          <w:i/>
          <w:color w:val="000000" w:themeColor="text1"/>
          <w:sz w:val="24"/>
          <w:szCs w:val="24"/>
        </w:rPr>
        <w:t>cotas raciais</w:t>
      </w:r>
      <w:r>
        <w:rPr>
          <w:rFonts w:cs="Times New Roman" w:ascii="Times New Roman" w:hAnsi="Times New Roman"/>
          <w:color w:val="000000" w:themeColor="text1"/>
          <w:sz w:val="24"/>
          <w:szCs w:val="24"/>
        </w:rPr>
        <w:t xml:space="preserve">. Considere-se ainda que neste último caso foi quando se registrou menor diferença entre </w:t>
      </w:r>
      <w:r>
        <w:rPr>
          <w:rFonts w:cs="Times New Roman" w:ascii="Times New Roman" w:hAnsi="Times New Roman"/>
          <w:i/>
          <w:color w:val="000000" w:themeColor="text1"/>
          <w:sz w:val="24"/>
          <w:szCs w:val="24"/>
        </w:rPr>
        <w:t>a favor</w:t>
      </w:r>
      <w:r>
        <w:rPr>
          <w:rFonts w:cs="Times New Roman" w:ascii="Times New Roman" w:hAnsi="Times New Roman"/>
          <w:color w:val="000000" w:themeColor="text1"/>
          <w:sz w:val="24"/>
          <w:szCs w:val="24"/>
        </w:rPr>
        <w:t xml:space="preserve"> e </w:t>
      </w:r>
      <w:r>
        <w:rPr>
          <w:rFonts w:cs="Times New Roman" w:ascii="Times New Roman" w:hAnsi="Times New Roman"/>
          <w:i/>
          <w:color w:val="000000" w:themeColor="text1"/>
          <w:sz w:val="24"/>
          <w:szCs w:val="24"/>
        </w:rPr>
        <w:t>contra</w:t>
      </w:r>
      <w:r>
        <w:rPr>
          <w:rFonts w:cs="Times New Roman" w:ascii="Times New Roman" w:hAnsi="Times New Roman"/>
          <w:color w:val="000000" w:themeColor="text1"/>
          <w:sz w:val="24"/>
          <w:szCs w:val="24"/>
        </w:rPr>
        <w:t>.</w:t>
      </w:r>
    </w:p>
    <w:p>
      <w:pPr>
        <w:pStyle w:val="Normal"/>
        <w:numPr>
          <w:ilvl w:val="0"/>
          <w:numId w:val="3"/>
        </w:numPr>
        <w:spacing w:lineRule="atLeast" w:line="40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Na comparação entre as respostas dos entrevistados das empresas públicas e privadas, as posições majoritárias seguiram exatamente as mesmas tendências, embora notando-se percentuais diferenciados em cada caso. Nos casos com maiores diferenciações nota-se que os respondentes das empresas públicas tenderam a posições mais conservadoras em matéria comportamental (</w:t>
      </w:r>
      <w:r>
        <w:rPr>
          <w:rFonts w:cs="Times New Roman" w:ascii="Times New Roman" w:hAnsi="Times New Roman"/>
          <w:i/>
          <w:color w:val="000000" w:themeColor="text1"/>
          <w:sz w:val="24"/>
          <w:szCs w:val="24"/>
        </w:rPr>
        <w:t>liberalização da maconha</w:t>
      </w:r>
      <w:r>
        <w:rPr>
          <w:rFonts w:cs="Times New Roman" w:ascii="Times New Roman" w:hAnsi="Times New Roman"/>
          <w:color w:val="000000" w:themeColor="text1"/>
          <w:sz w:val="24"/>
          <w:szCs w:val="24"/>
        </w:rPr>
        <w:t xml:space="preserve"> e </w:t>
      </w:r>
      <w:r>
        <w:rPr>
          <w:rFonts w:cs="Times New Roman" w:ascii="Times New Roman" w:hAnsi="Times New Roman"/>
          <w:i/>
          <w:color w:val="000000" w:themeColor="text1"/>
          <w:sz w:val="24"/>
          <w:szCs w:val="24"/>
        </w:rPr>
        <w:t>casamento no mesmo sexo</w:t>
      </w:r>
      <w:r>
        <w:rPr>
          <w:rFonts w:cs="Times New Roman" w:ascii="Times New Roman" w:hAnsi="Times New Roman"/>
          <w:color w:val="000000" w:themeColor="text1"/>
          <w:sz w:val="24"/>
          <w:szCs w:val="24"/>
        </w:rPr>
        <w:t>) e mais progressistas nos temas penais (</w:t>
      </w:r>
      <w:r>
        <w:rPr>
          <w:rFonts w:cs="Times New Roman" w:ascii="Times New Roman" w:hAnsi="Times New Roman"/>
          <w:i/>
          <w:color w:val="000000" w:themeColor="text1"/>
          <w:sz w:val="24"/>
          <w:szCs w:val="24"/>
        </w:rPr>
        <w:t>redução da maioridade penal</w:t>
      </w:r>
      <w:r>
        <w:rPr>
          <w:rFonts w:cs="Times New Roman" w:ascii="Times New Roman" w:hAnsi="Times New Roman"/>
          <w:color w:val="000000" w:themeColor="text1"/>
          <w:sz w:val="24"/>
          <w:szCs w:val="24"/>
        </w:rPr>
        <w:t xml:space="preserve"> e </w:t>
      </w:r>
      <w:r>
        <w:rPr>
          <w:rFonts w:cs="Times New Roman" w:ascii="Times New Roman" w:hAnsi="Times New Roman"/>
          <w:i/>
          <w:color w:val="000000" w:themeColor="text1"/>
          <w:sz w:val="24"/>
          <w:szCs w:val="24"/>
        </w:rPr>
        <w:t>pena de morte</w:t>
      </w:r>
      <w:r>
        <w:rPr>
          <w:rFonts w:cs="Times New Roman" w:ascii="Times New Roman" w:hAnsi="Times New Roman"/>
          <w:color w:val="000000" w:themeColor="text1"/>
          <w:sz w:val="24"/>
          <w:szCs w:val="24"/>
        </w:rPr>
        <w:t>) e político-econômicos (</w:t>
      </w:r>
      <w:r>
        <w:rPr>
          <w:rFonts w:cs="Times New Roman" w:ascii="Times New Roman" w:hAnsi="Times New Roman"/>
          <w:i/>
          <w:color w:val="000000" w:themeColor="text1"/>
          <w:sz w:val="24"/>
          <w:szCs w:val="24"/>
        </w:rPr>
        <w:t>Reforma da Previdência</w:t>
      </w:r>
      <w:r>
        <w:rPr>
          <w:rFonts w:cs="Times New Roman" w:ascii="Times New Roman" w:hAnsi="Times New Roman"/>
          <w:color w:val="000000" w:themeColor="text1"/>
          <w:sz w:val="24"/>
          <w:szCs w:val="24"/>
        </w:rPr>
        <w:t xml:space="preserve"> e </w:t>
      </w:r>
      <w:r>
        <w:rPr>
          <w:rFonts w:cs="Times New Roman" w:ascii="Times New Roman" w:hAnsi="Times New Roman"/>
          <w:i/>
          <w:color w:val="000000" w:themeColor="text1"/>
          <w:sz w:val="24"/>
          <w:szCs w:val="24"/>
        </w:rPr>
        <w:t>privatização da Petrobrás</w:t>
      </w:r>
      <w:r>
        <w:rPr>
          <w:rFonts w:cs="Times New Roman" w:ascii="Times New Roman" w:hAnsi="Times New Roman"/>
          <w:color w:val="000000" w:themeColor="text1"/>
          <w:sz w:val="24"/>
          <w:szCs w:val="24"/>
        </w:rPr>
        <w:t>).</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center"/>
        <w:rPr>
          <w:rFonts w:ascii="Arial" w:hAnsi="Arial" w:cs="Arial"/>
          <w:i/>
          <w:i/>
          <w:sz w:val="20"/>
          <w:szCs w:val="20"/>
        </w:rPr>
      </w:pPr>
      <w:r>
        <w:rPr>
          <w:rFonts w:cs="Arial" w:ascii="Arial" w:hAnsi="Arial"/>
          <w:i/>
          <w:sz w:val="20"/>
          <w:szCs w:val="20"/>
        </w:rPr>
        <w:t>Gráfico 39 – Opinião sobre</w:t>
      </w:r>
    </w:p>
    <w:tbl>
      <w:tblPr>
        <w:tblStyle w:val="Tabelacomgrade"/>
        <w:tblW w:w="8505" w:type="dxa"/>
        <w:jc w:val="left"/>
        <w:tblInd w:w="0" w:type="dxa"/>
        <w:shd w:fill="FFFFFF" w:val="clear"/>
        <w:tblCellMar>
          <w:top w:w="0" w:type="dxa"/>
          <w:left w:w="70" w:type="dxa"/>
          <w:bottom w:w="0" w:type="dxa"/>
          <w:right w:w="70" w:type="dxa"/>
        </w:tblCellMar>
        <w:tblLook w:firstRow="1" w:noVBand="1" w:lastRow="0" w:firstColumn="1" w:lastColumn="0" w:noHBand="0" w:val="04a0"/>
      </w:tblPr>
      <w:tblGrid>
        <w:gridCol w:w="4237"/>
        <w:gridCol w:w="4267"/>
      </w:tblGrid>
      <w:tr>
        <w:trPr>
          <w:cnfStyle w:val="100000000000" w:firstRow="1" w:lastRow="0" w:firstColumn="0" w:lastColumn="0" w:oddVBand="0" w:evenVBand="0" w:oddHBand="0" w:evenHBand="0" w:firstRowFirstColumn="0" w:firstRowLastColumn="0" w:lastRowFirstColumn="0" w:lastRowLastColumn="0"/>
        </w:trPr>
        <w:tc>
          <w:tcPr>
            <w:tcW w:w="4237" w:type="dxa"/>
            <w:cnfStyle w:val="001000000000" w:firstRow="0" w:lastRow="0" w:firstColumn="1" w:lastColumn="0" w:oddVBand="0" w:evenVBand="0" w:oddHBand="0" w:evenHBand="0" w:firstRowFirstColumn="0" w:firstRowLastColumn="0" w:lastRowFirstColumn="0" w:lastRowLastColumn="0"/>
            <w:tcBorders>
              <w:top w:val="nil"/>
              <w:left w:val="nil"/>
              <w:bottom w:val="single" w:sz="6" w:space="0" w:color="000000"/>
              <w:right w:val="nil"/>
            </w:tcBorders>
            <w:shd w:color="auto" w:fill="FFFFFF" w:themeFill="background1" w:val="clear"/>
          </w:tcPr>
          <w:p>
            <w:pPr>
              <w:pStyle w:val="Normal"/>
              <w:spacing w:lineRule="auto" w:line="360" w:before="0" w:after="0"/>
              <w:jc w:val="both"/>
              <w:rPr>
                <w:rFonts w:ascii="Times New Roman" w:hAnsi="Times New Roman" w:cs="Times New Roman"/>
                <w:b w:val="false"/>
                <w:b w:val="false"/>
                <w:i w:val="false"/>
                <w:i w:val="false"/>
                <w:color w:val="000000" w:themeColor="text1"/>
                <w:sz w:val="24"/>
                <w:szCs w:val="24"/>
              </w:rPr>
            </w:pPr>
            <w:r>
              <w:rPr>
                <w:rFonts w:eastAsia="" w:eastAsiaTheme="minorEastAsia"/>
                <w:b/>
                <w:bCs/>
                <w:i/>
                <w:iCs/>
                <w:color w:val="800000"/>
                <w:sz w:val="20"/>
                <w:szCs w:val="20"/>
                <w:lang w:eastAsia="pt-BR"/>
              </w:rPr>
              <w:drawing>
                <wp:inline distT="0" distB="0" distL="0" distR="0">
                  <wp:extent cx="2628900" cy="1879600"/>
                  <wp:effectExtent l="0" t="0" r="0" b="0"/>
                  <wp:docPr id="4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267" w:type="dxa"/>
            <w:tcBorders>
              <w:top w:val="nil"/>
              <w:left w:val="nil"/>
              <w:bottom w:val="single" w:sz="6" w:space="0" w:color="000000"/>
              <w:right w:val="nil"/>
            </w:tcBorders>
            <w:shd w:color="auto" w:fill="FFFFFF" w:themeFill="background1"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false"/>
                <w:b w:val="false"/>
                <w:i w:val="false"/>
                <w:i w:val="false"/>
                <w:color w:val="000000" w:themeColor="text1"/>
                <w:sz w:val="24"/>
                <w:szCs w:val="24"/>
              </w:rPr>
            </w:pPr>
            <w:r>
              <w:rPr>
                <w:rFonts w:eastAsia="" w:eastAsiaTheme="minorEastAsia"/>
                <w:b/>
                <w:bCs/>
                <w:i/>
                <w:iCs/>
                <w:color w:val="800000"/>
                <w:sz w:val="20"/>
                <w:szCs w:val="20"/>
                <w:lang w:eastAsia="pt-BR"/>
              </w:rPr>
              <w:drawing>
                <wp:inline distT="0" distB="0" distL="0" distR="0">
                  <wp:extent cx="2641600" cy="1879600"/>
                  <wp:effectExtent l="0" t="0" r="0" b="0"/>
                  <wp:docPr id="4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trPr>
          <w:cnfStyle w:val="000000100000" w:firstRow="0" w:lastRow="0" w:firstColumn="0" w:lastColumn="0" w:oddVBand="0" w:evenVBand="0" w:oddHBand="1" w:evenHBand="0" w:firstRowFirstColumn="0" w:firstRowLastColumn="0" w:lastRowFirstColumn="0" w:lastRowLastColumn="0"/>
        </w:trPr>
        <w:tc>
          <w:tcPr>
            <w:tcW w:w="4237"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spacing w:lineRule="auto" w:line="360" w:before="0" w:after="0"/>
              <w:jc w:val="both"/>
              <w:rPr>
                <w:rFonts w:ascii="Times New Roman" w:hAnsi="Times New Roman" w:cs="Times New Roman"/>
                <w:color w:val="000000" w:themeColor="text1"/>
                <w:sz w:val="24"/>
                <w:szCs w:val="24"/>
              </w:rPr>
            </w:pPr>
            <w:r>
              <w:rPr>
                <w:rFonts w:eastAsia="" w:eastAsiaTheme="minorEastAsia"/>
                <w:b/>
                <w:bCs/>
                <w:color w:val="auto"/>
                <w:sz w:val="20"/>
                <w:szCs w:val="20"/>
                <w:lang w:eastAsia="pt-BR"/>
              </w:rPr>
              <w:drawing>
                <wp:inline distT="0" distB="0" distL="0" distR="0">
                  <wp:extent cx="2624455" cy="1900555"/>
                  <wp:effectExtent l="0" t="0" r="0" b="0"/>
                  <wp:docPr id="5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267" w:type="dxa"/>
            <w:tcBorders>
              <w:top w:val="nil"/>
              <w:left w:val="nil"/>
              <w:bottom w:val="nil"/>
              <w:right w:val="nil"/>
            </w:tcBorders>
            <w:shd w:color="auto" w:fill="FFFFFF" w:themeFill="background1"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eastAsia="" w:eastAsiaTheme="minorEastAsia"/>
                <w:color w:val="auto"/>
                <w:sz w:val="20"/>
                <w:szCs w:val="20"/>
                <w:lang w:eastAsia="pt-BR"/>
              </w:rPr>
              <w:drawing>
                <wp:inline distT="0" distB="0" distL="0" distR="0">
                  <wp:extent cx="2641600" cy="1900555"/>
                  <wp:effectExtent l="0" t="0" r="0" b="0"/>
                  <wp:docPr id="5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trPr>
          <w:cnfStyle w:val="000000010000" w:firstRow="0" w:lastRow="0" w:firstColumn="0" w:lastColumn="0" w:oddVBand="0" w:evenVBand="0" w:oddHBand="0" w:evenHBand="1" w:firstRowFirstColumn="0" w:firstRowLastColumn="0" w:lastRowFirstColumn="0" w:lastRowLastColumn="0"/>
        </w:trPr>
        <w:tc>
          <w:tcPr>
            <w:tcW w:w="4237"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spacing w:lineRule="auto" w:line="360" w:before="0" w:after="0"/>
              <w:jc w:val="both"/>
              <w:rPr>
                <w:rFonts w:eastAsia="" w:eastAsiaTheme="minorEastAsia"/>
                <w:b/>
                <w:b/>
                <w:bCs/>
                <w:color w:val="auto"/>
                <w:sz w:val="20"/>
                <w:szCs w:val="20"/>
                <w:lang w:eastAsia="pt-BR"/>
              </w:rPr>
            </w:pPr>
            <w:r>
              <w:rPr>
                <w:rFonts w:eastAsia="" w:eastAsiaTheme="minorEastAsia"/>
                <w:b/>
                <w:bCs/>
                <w:color w:val="auto"/>
                <w:sz w:val="20"/>
                <w:szCs w:val="20"/>
                <w:lang w:eastAsia="pt-BR"/>
              </w:rPr>
              <w:drawing>
                <wp:inline distT="0" distB="0" distL="0" distR="0">
                  <wp:extent cx="2624455" cy="1798955"/>
                  <wp:effectExtent l="0" t="0" r="0" b="0"/>
                  <wp:docPr id="5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267" w:type="dxa"/>
            <w:tcBorders>
              <w:top w:val="nil"/>
              <w:left w:val="nil"/>
              <w:bottom w:val="nil"/>
              <w:right w:val="nil"/>
            </w:tcBorders>
            <w:shd w:color="auto" w:fill="FFFFFF" w:themeFill="background1" w:val="clear"/>
          </w:tcPr>
          <w:p>
            <w:pPr>
              <w:pStyle w:val="Normal"/>
              <w:spacing w:lineRule="auto" w:line="360" w:before="0" w:after="0"/>
              <w:jc w:val="both"/>
              <w:cnfStyle w:val="000000010000" w:firstRow="0" w:lastRow="0" w:firstColumn="0" w:lastColumn="0" w:oddVBand="0" w:evenVBand="0" w:oddHBand="0" w:evenHBand="1" w:firstRowFirstColumn="0" w:firstRowLastColumn="0" w:lastRowFirstColumn="0" w:lastRowLastColumn="0"/>
              <w:rPr>
                <w:rFonts w:eastAsia="" w:eastAsiaTheme="minorEastAsia"/>
                <w:color w:val="auto"/>
                <w:sz w:val="20"/>
                <w:szCs w:val="20"/>
                <w:lang w:eastAsia="pt-BR"/>
              </w:rPr>
            </w:pPr>
            <w:r>
              <w:rPr>
                <w:rFonts w:eastAsia="" w:eastAsiaTheme="minorEastAsia"/>
                <w:color w:val="auto"/>
                <w:sz w:val="20"/>
                <w:szCs w:val="20"/>
                <w:lang w:eastAsia="pt-BR"/>
              </w:rPr>
              <w:drawing>
                <wp:inline distT="0" distB="0" distL="0" distR="0">
                  <wp:extent cx="2633345" cy="1798955"/>
                  <wp:effectExtent l="0" t="0" r="0" b="0"/>
                  <wp:docPr id="5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r>
        <w:trPr>
          <w:cnfStyle w:val="000000100000" w:firstRow="0" w:lastRow="0" w:firstColumn="0" w:lastColumn="0" w:oddVBand="0" w:evenVBand="0" w:oddHBand="1" w:evenHBand="0" w:firstRowFirstColumn="0" w:firstRowLastColumn="0" w:lastRowFirstColumn="0" w:lastRowLastColumn="0"/>
        </w:trPr>
        <w:tc>
          <w:tcPr>
            <w:tcW w:w="4237"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spacing w:lineRule="auto" w:line="360" w:before="0" w:after="0"/>
              <w:jc w:val="both"/>
              <w:rPr>
                <w:rFonts w:ascii="Times New Roman" w:hAnsi="Times New Roman" w:cs="Times New Roman"/>
                <w:color w:val="000000" w:themeColor="text1"/>
                <w:sz w:val="24"/>
                <w:szCs w:val="24"/>
              </w:rPr>
            </w:pPr>
            <w:r>
              <w:rPr>
                <w:rFonts w:eastAsia="" w:eastAsiaTheme="minorEastAsia"/>
                <w:b/>
                <w:bCs/>
                <w:color w:val="auto"/>
                <w:sz w:val="20"/>
                <w:szCs w:val="20"/>
                <w:lang w:eastAsia="pt-BR"/>
              </w:rPr>
              <w:drawing>
                <wp:inline distT="0" distB="0" distL="0" distR="0">
                  <wp:extent cx="2624455" cy="1913255"/>
                  <wp:effectExtent l="0" t="0" r="0" b="0"/>
                  <wp:docPr id="5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267" w:type="dxa"/>
            <w:tcBorders>
              <w:top w:val="nil"/>
              <w:left w:val="nil"/>
              <w:bottom w:val="nil"/>
              <w:right w:val="nil"/>
            </w:tcBorders>
            <w:shd w:color="auto" w:fill="FFFFFF" w:themeFill="background1"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eastAsia="" w:eastAsiaTheme="minorEastAsia"/>
                <w:color w:val="auto"/>
                <w:sz w:val="20"/>
                <w:szCs w:val="20"/>
                <w:lang w:eastAsia="pt-BR"/>
              </w:rPr>
              <w:drawing>
                <wp:inline distT="0" distB="0" distL="0" distR="0">
                  <wp:extent cx="2624455" cy="1913255"/>
                  <wp:effectExtent l="0" t="0" r="0" b="0"/>
                  <wp:docPr id="5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r>
        <w:trPr>
          <w:cnfStyle w:val="000000010000" w:firstRow="0" w:lastRow="0" w:firstColumn="0" w:lastColumn="0" w:oddVBand="0" w:evenVBand="0" w:oddHBand="0" w:evenHBand="1" w:firstRowFirstColumn="0" w:firstRowLastColumn="0" w:lastRowFirstColumn="0" w:lastRowLastColumn="0"/>
        </w:trPr>
        <w:tc>
          <w:tcPr>
            <w:tcW w:w="4237"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spacing w:lineRule="auto" w:line="360" w:before="0" w:after="0"/>
              <w:jc w:val="both"/>
              <w:rPr>
                <w:rFonts w:ascii="Times New Roman" w:hAnsi="Times New Roman" w:cs="Times New Roman"/>
                <w:color w:val="000000" w:themeColor="text1"/>
                <w:sz w:val="24"/>
                <w:szCs w:val="24"/>
              </w:rPr>
            </w:pPr>
            <w:r>
              <w:rPr>
                <w:rFonts w:eastAsia="" w:eastAsiaTheme="minorEastAsia"/>
                <w:b/>
                <w:bCs/>
                <w:color w:val="auto"/>
                <w:sz w:val="20"/>
                <w:szCs w:val="20"/>
                <w:lang w:eastAsia="pt-BR"/>
              </w:rPr>
              <w:drawing>
                <wp:inline distT="0" distB="0" distL="0" distR="0">
                  <wp:extent cx="2624455" cy="1913255"/>
                  <wp:effectExtent l="0" t="0" r="0" b="0"/>
                  <wp:docPr id="5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267" w:type="dxa"/>
            <w:tcBorders>
              <w:top w:val="nil"/>
              <w:left w:val="nil"/>
              <w:bottom w:val="nil"/>
              <w:right w:val="nil"/>
            </w:tcBorders>
            <w:shd w:color="auto" w:fill="FFFFFF" w:themeFill="background1" w:val="clear"/>
          </w:tcPr>
          <w:p>
            <w:pPr>
              <w:pStyle w:val="Normal"/>
              <w:spacing w:lineRule="auto" w:line="360" w:before="0"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Pr>
                <w:rFonts w:eastAsia="" w:eastAsiaTheme="minorEastAsia"/>
                <w:color w:val="auto"/>
                <w:sz w:val="20"/>
                <w:szCs w:val="20"/>
                <w:lang w:eastAsia="pt-BR"/>
              </w:rPr>
              <w:drawing>
                <wp:inline distT="0" distB="0" distL="0" distR="0">
                  <wp:extent cx="2611755" cy="1896745"/>
                  <wp:effectExtent l="0" t="0" r="0" b="0"/>
                  <wp:docPr id="5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r>
        <w:trPr>
          <w:cnfStyle w:val="000000100000" w:firstRow="0" w:lastRow="0" w:firstColumn="0" w:lastColumn="0" w:oddVBand="0" w:evenVBand="0" w:oddHBand="1" w:evenHBand="0" w:firstRowFirstColumn="0" w:firstRowLastColumn="0" w:lastRowFirstColumn="0" w:lastRowLastColumn="0"/>
        </w:trPr>
        <w:tc>
          <w:tcPr>
            <w:tcW w:w="4237"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spacing w:lineRule="auto" w:line="360" w:before="0" w:after="0"/>
              <w:jc w:val="both"/>
              <w:rPr>
                <w:rFonts w:eastAsia="" w:eastAsiaTheme="minorEastAsia"/>
                <w:b/>
                <w:b/>
                <w:bCs/>
                <w:color w:val="auto"/>
                <w:sz w:val="20"/>
                <w:szCs w:val="20"/>
                <w:lang w:eastAsia="pt-BR"/>
              </w:rPr>
            </w:pPr>
            <w:r>
              <w:rPr>
                <w:rFonts w:eastAsia="" w:eastAsiaTheme="minorEastAsia"/>
                <w:b/>
                <w:bCs/>
                <w:color w:val="auto"/>
                <w:sz w:val="20"/>
                <w:szCs w:val="20"/>
                <w:lang w:eastAsia="pt-BR"/>
              </w:rPr>
              <w:drawing>
                <wp:inline distT="0" distB="0" distL="0" distR="0">
                  <wp:extent cx="2632710" cy="1943100"/>
                  <wp:effectExtent l="0" t="0" r="0" b="0"/>
                  <wp:docPr id="5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267" w:type="dxa"/>
            <w:tcBorders>
              <w:top w:val="nil"/>
              <w:left w:val="nil"/>
              <w:bottom w:val="nil"/>
              <w:right w:val="nil"/>
            </w:tcBorders>
            <w:shd w:color="auto" w:fill="FFFFFF" w:themeFill="background1"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eastAsia="" w:eastAsiaTheme="minorEastAsia"/>
                <w:color w:val="auto"/>
                <w:sz w:val="20"/>
                <w:szCs w:val="20"/>
                <w:lang w:eastAsia="pt-BR"/>
              </w:rPr>
            </w:pPr>
            <w:r>
              <w:rPr>
                <w:rFonts w:eastAsia="" w:eastAsiaTheme="minorEastAsia"/>
                <w:color w:val="auto"/>
                <w:sz w:val="20"/>
                <w:szCs w:val="20"/>
                <w:lang w:eastAsia="pt-BR"/>
              </w:rPr>
              <w:drawing>
                <wp:inline distT="0" distB="0" distL="0" distR="0">
                  <wp:extent cx="2649855" cy="1955800"/>
                  <wp:effectExtent l="0" t="0" r="0" b="0"/>
                  <wp:docPr id="5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pPr>
        <w:pStyle w:val="Normal"/>
        <w:spacing w:lineRule="auto" w:line="240" w:before="0" w:after="0"/>
        <w:ind w:left="708" w:firstLine="708"/>
        <w:rPr>
          <w:rFonts w:ascii="Times New Roman" w:hAnsi="Times New Roman" w:cs="Times New Roman"/>
          <w:sz w:val="18"/>
          <w:szCs w:val="18"/>
        </w:rPr>
      </w:pPr>
      <w:r>
        <w:rPr>
          <w:rFonts w:cs="Times New Roman" w:ascii="Times New Roman" w:hAnsi="Times New Roman"/>
          <w:sz w:val="18"/>
          <w:szCs w:val="18"/>
        </w:rPr>
        <w:t>Fonte: Pesquisa SINDPD-PE 2017</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b/>
          <w:b/>
        </w:rPr>
      </w:pPr>
      <w:r>
        <w:rPr>
          <w:b/>
        </w:rPr>
        <w:t>2.11. Índices como Instrumentos de Sínteses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u w:val="single"/>
        </w:rPr>
        <w:t>Índice de Posição na Área de TI</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Foram incluídos na sua composição 4 indicadores, cada um participando com o mesmo peso proporcional (25% para cada um): </w:t>
      </w:r>
      <w:r>
        <w:rPr>
          <w:rFonts w:cs="Times New Roman" w:ascii="Times New Roman" w:hAnsi="Times New Roman"/>
          <w:i/>
          <w:sz w:val="24"/>
          <w:szCs w:val="24"/>
        </w:rPr>
        <w:t>nível de escolaridade</w:t>
      </w:r>
      <w:r>
        <w:rPr>
          <w:rFonts w:cs="Times New Roman" w:ascii="Times New Roman" w:hAnsi="Times New Roman"/>
          <w:sz w:val="24"/>
          <w:szCs w:val="24"/>
        </w:rPr>
        <w:t xml:space="preserve">, </w:t>
      </w:r>
      <w:r>
        <w:rPr>
          <w:rFonts w:cs="Times New Roman" w:ascii="Times New Roman" w:hAnsi="Times New Roman"/>
          <w:i/>
          <w:sz w:val="24"/>
          <w:szCs w:val="24"/>
        </w:rPr>
        <w:t>formação em TI</w:t>
      </w:r>
      <w:r>
        <w:rPr>
          <w:rFonts w:cs="Times New Roman" w:ascii="Times New Roman" w:hAnsi="Times New Roman"/>
          <w:sz w:val="24"/>
          <w:szCs w:val="24"/>
        </w:rPr>
        <w:t xml:space="preserve">, </w:t>
      </w:r>
      <w:r>
        <w:rPr>
          <w:rFonts w:cs="Times New Roman" w:ascii="Times New Roman" w:hAnsi="Times New Roman"/>
          <w:i/>
          <w:sz w:val="24"/>
          <w:szCs w:val="24"/>
        </w:rPr>
        <w:t>função no emprego atual</w:t>
      </w:r>
      <w:r>
        <w:rPr>
          <w:rFonts w:cs="Times New Roman" w:ascii="Times New Roman" w:hAnsi="Times New Roman"/>
          <w:sz w:val="24"/>
          <w:szCs w:val="24"/>
        </w:rPr>
        <w:t xml:space="preserve"> e </w:t>
      </w:r>
      <w:r>
        <w:rPr>
          <w:rFonts w:cs="Times New Roman" w:ascii="Times New Roman" w:hAnsi="Times New Roman"/>
          <w:i/>
          <w:sz w:val="24"/>
          <w:szCs w:val="24"/>
        </w:rPr>
        <w:t>renda bruta individual</w:t>
      </w:r>
      <w:r>
        <w:rPr>
          <w:rFonts w:cs="Times New Roman" w:ascii="Times New Roman" w:hAnsi="Times New Roman"/>
          <w:sz w:val="24"/>
          <w:szCs w:val="24"/>
        </w:rPr>
        <w:t>.</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No Gráfico 40, evidencia-se uma distribuição que é crescente quanto mais alta a posição do entrevistado, de modo que as duas primeiras (</w:t>
      </w:r>
      <w:r>
        <w:rPr>
          <w:rFonts w:cs="Times New Roman" w:ascii="Times New Roman" w:hAnsi="Times New Roman"/>
          <w:i/>
          <w:sz w:val="24"/>
          <w:szCs w:val="24"/>
        </w:rPr>
        <w:t>muito baixo</w:t>
      </w:r>
      <w:r>
        <w:rPr>
          <w:rFonts w:cs="Times New Roman" w:ascii="Times New Roman" w:hAnsi="Times New Roman"/>
          <w:sz w:val="24"/>
          <w:szCs w:val="24"/>
        </w:rPr>
        <w:t xml:space="preserve">, 7,1%, e </w:t>
      </w:r>
      <w:r>
        <w:rPr>
          <w:rFonts w:cs="Times New Roman" w:ascii="Times New Roman" w:hAnsi="Times New Roman"/>
          <w:i/>
          <w:sz w:val="24"/>
          <w:szCs w:val="24"/>
        </w:rPr>
        <w:t>baixo</w:t>
      </w:r>
      <w:r>
        <w:rPr>
          <w:rFonts w:cs="Times New Roman" w:ascii="Times New Roman" w:hAnsi="Times New Roman"/>
          <w:sz w:val="24"/>
          <w:szCs w:val="24"/>
        </w:rPr>
        <w:t xml:space="preserve">, com 15,6%) somaram 22,7%, enquanto que 20,4% foi considerado com posição </w:t>
      </w:r>
      <w:r>
        <w:rPr>
          <w:rFonts w:cs="Times New Roman" w:ascii="Times New Roman" w:hAnsi="Times New Roman"/>
          <w:i/>
          <w:sz w:val="24"/>
          <w:szCs w:val="24"/>
        </w:rPr>
        <w:t>média</w:t>
      </w:r>
      <w:r>
        <w:rPr>
          <w:rFonts w:cs="Times New Roman" w:ascii="Times New Roman" w:hAnsi="Times New Roman"/>
          <w:sz w:val="24"/>
          <w:szCs w:val="24"/>
        </w:rPr>
        <w:t xml:space="preserve"> e a larga maioria (alto, com 23,4%, mais muito alto, com 33,5%, totalizando 56,9%) pode ser considerada bem posicionada, reunindo alta escolaridade e formação, exercendo as funções mais qualificadas e mais bem remuneradas. Isso corrobora as informações também apuradas com os dados da RAIS, quando comparando-se esse segmento com outros nota-se uma situação econômica e profissional claramente diferenciada.</w:t>
      </w:r>
    </w:p>
    <w:p>
      <w:pPr>
        <w:pStyle w:val="Normal"/>
        <w:spacing w:lineRule="atLeast" w:line="4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Gráfico 40 – Distribuição dos Entrevistados Segundo o Índice de Posição na Área de TI</w:t>
      </w:r>
    </w:p>
    <w:p>
      <w:pPr>
        <w:pStyle w:val="Normal"/>
        <w:spacing w:lineRule="auto" w:line="240" w:before="0" w:after="0"/>
        <w:jc w:val="center"/>
        <w:rPr>
          <w:rFonts w:ascii="Times New Roman" w:hAnsi="Times New Roman" w:cs="Times New Roman"/>
          <w:sz w:val="24"/>
          <w:szCs w:val="24"/>
        </w:rPr>
      </w:pPr>
      <w:r>
        <w:rPr/>
        <w:drawing>
          <wp:inline distT="0" distB="0" distL="0" distR="0">
            <wp:extent cx="4465955" cy="2048510"/>
            <wp:effectExtent l="0" t="0" r="0" b="0"/>
            <wp:docPr id="6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Normal"/>
        <w:spacing w:lineRule="auto" w:line="240" w:before="0" w:after="0"/>
        <w:ind w:left="1416" w:firstLine="708"/>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Aplicando-se este Índice segundo o a Natureza Jurídica das Empresas, nota-se (conforme Gráfico 41) no caso das empresas públicas há uma concentração maior nos estratos </w:t>
      </w:r>
      <w:r>
        <w:rPr>
          <w:rFonts w:cs="Times New Roman" w:ascii="Times New Roman" w:hAnsi="Times New Roman"/>
          <w:i/>
          <w:sz w:val="24"/>
          <w:szCs w:val="24"/>
        </w:rPr>
        <w:t>médio</w:t>
      </w:r>
      <w:r>
        <w:rPr>
          <w:rFonts w:cs="Times New Roman" w:ascii="Times New Roman" w:hAnsi="Times New Roman"/>
          <w:sz w:val="24"/>
          <w:szCs w:val="24"/>
        </w:rPr>
        <w:t xml:space="preserve">, </w:t>
      </w:r>
      <w:r>
        <w:rPr>
          <w:rFonts w:cs="Times New Roman" w:ascii="Times New Roman" w:hAnsi="Times New Roman"/>
          <w:i/>
          <w:sz w:val="24"/>
          <w:szCs w:val="24"/>
        </w:rPr>
        <w:t>alto</w:t>
      </w:r>
      <w:r>
        <w:rPr>
          <w:rFonts w:cs="Times New Roman" w:ascii="Times New Roman" w:hAnsi="Times New Roman"/>
          <w:sz w:val="24"/>
          <w:szCs w:val="24"/>
        </w:rPr>
        <w:t xml:space="preserve"> e </w:t>
      </w:r>
      <w:r>
        <w:rPr>
          <w:rFonts w:cs="Times New Roman" w:ascii="Times New Roman" w:hAnsi="Times New Roman"/>
          <w:i/>
          <w:sz w:val="24"/>
          <w:szCs w:val="24"/>
        </w:rPr>
        <w:t>muito alto</w:t>
      </w:r>
      <w:r>
        <w:rPr>
          <w:rFonts w:cs="Times New Roman" w:ascii="Times New Roman" w:hAnsi="Times New Roman"/>
          <w:sz w:val="24"/>
          <w:szCs w:val="24"/>
        </w:rPr>
        <w:t xml:space="preserve">, enquanto nas privadas as proporções de </w:t>
      </w:r>
      <w:r>
        <w:rPr>
          <w:rFonts w:cs="Times New Roman" w:ascii="Times New Roman" w:hAnsi="Times New Roman"/>
          <w:i/>
          <w:sz w:val="24"/>
          <w:szCs w:val="24"/>
        </w:rPr>
        <w:t>alto</w:t>
      </w:r>
      <w:r>
        <w:rPr>
          <w:rFonts w:cs="Times New Roman" w:ascii="Times New Roman" w:hAnsi="Times New Roman"/>
          <w:sz w:val="24"/>
          <w:szCs w:val="24"/>
        </w:rPr>
        <w:t xml:space="preserve"> e </w:t>
      </w:r>
      <w:r>
        <w:rPr>
          <w:rFonts w:cs="Times New Roman" w:ascii="Times New Roman" w:hAnsi="Times New Roman"/>
          <w:i/>
          <w:sz w:val="24"/>
          <w:szCs w:val="24"/>
        </w:rPr>
        <w:t>muito alto</w:t>
      </w:r>
      <w:r>
        <w:rPr>
          <w:rFonts w:cs="Times New Roman" w:ascii="Times New Roman" w:hAnsi="Times New Roman"/>
          <w:sz w:val="24"/>
          <w:szCs w:val="24"/>
        </w:rPr>
        <w:t xml:space="preserve"> são equivalentes, mas há bem menos </w:t>
      </w:r>
      <w:r>
        <w:rPr>
          <w:rFonts w:cs="Times New Roman" w:ascii="Times New Roman" w:hAnsi="Times New Roman"/>
          <w:i/>
          <w:sz w:val="24"/>
          <w:szCs w:val="24"/>
        </w:rPr>
        <w:t>médio</w:t>
      </w:r>
      <w:r>
        <w:rPr>
          <w:rFonts w:cs="Times New Roman" w:ascii="Times New Roman" w:hAnsi="Times New Roman"/>
          <w:sz w:val="24"/>
          <w:szCs w:val="24"/>
        </w:rPr>
        <w:t xml:space="preserve"> e bem mais </w:t>
      </w:r>
      <w:r>
        <w:rPr>
          <w:rFonts w:cs="Times New Roman" w:ascii="Times New Roman" w:hAnsi="Times New Roman"/>
          <w:i/>
          <w:sz w:val="24"/>
          <w:szCs w:val="24"/>
        </w:rPr>
        <w:t>baixo</w:t>
      </w:r>
      <w:r>
        <w:rPr>
          <w:rFonts w:cs="Times New Roman" w:ascii="Times New Roman" w:hAnsi="Times New Roman"/>
          <w:sz w:val="24"/>
          <w:szCs w:val="24"/>
        </w:rPr>
        <w:t xml:space="preserve"> e </w:t>
      </w:r>
      <w:r>
        <w:rPr>
          <w:rFonts w:cs="Times New Roman" w:ascii="Times New Roman" w:hAnsi="Times New Roman"/>
          <w:i/>
          <w:sz w:val="24"/>
          <w:szCs w:val="24"/>
        </w:rPr>
        <w:t>muito baixo</w:t>
      </w:r>
      <w:r>
        <w:rPr>
          <w:rFonts w:cs="Times New Roman" w:ascii="Times New Roman" w:hAnsi="Times New Roman"/>
          <w:sz w:val="24"/>
          <w:szCs w:val="24"/>
        </w:rPr>
        <w:t>.</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Gráfico 41 – Distribuição dos Entrevistados Segundo o Índice de Posição na Área de TI e Natureza Jurídica das Empresas</w:t>
      </w:r>
    </w:p>
    <w:p>
      <w:pPr>
        <w:pStyle w:val="Normal"/>
        <w:spacing w:lineRule="auto" w:line="240" w:before="0" w:after="0"/>
        <w:jc w:val="center"/>
        <w:rPr>
          <w:rFonts w:ascii="Times New Roman" w:hAnsi="Times New Roman" w:cs="Times New Roman"/>
          <w:sz w:val="24"/>
          <w:szCs w:val="24"/>
        </w:rPr>
      </w:pPr>
      <w:r>
        <w:rPr/>
        <w:drawing>
          <wp:inline distT="0" distB="0" distL="0" distR="0">
            <wp:extent cx="4572000" cy="2178050"/>
            <wp:effectExtent l="0" t="0" r="0" b="0"/>
            <wp:docPr id="6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Normal"/>
        <w:spacing w:lineRule="auto" w:line="240" w:before="0" w:after="0"/>
        <w:ind w:left="1416" w:firstLine="708"/>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No que se refere ao Porte das Empresas (Gráfico 42), há uma significativa presença de </w:t>
      </w:r>
      <w:r>
        <w:rPr>
          <w:rFonts w:cs="Times New Roman" w:ascii="Times New Roman" w:hAnsi="Times New Roman"/>
          <w:i/>
          <w:sz w:val="24"/>
          <w:szCs w:val="24"/>
        </w:rPr>
        <w:t>médio</w:t>
      </w:r>
      <w:r>
        <w:rPr>
          <w:rFonts w:cs="Times New Roman" w:ascii="Times New Roman" w:hAnsi="Times New Roman"/>
          <w:sz w:val="24"/>
          <w:szCs w:val="24"/>
        </w:rPr>
        <w:t xml:space="preserve">, </w:t>
      </w:r>
      <w:r>
        <w:rPr>
          <w:rFonts w:cs="Times New Roman" w:ascii="Times New Roman" w:hAnsi="Times New Roman"/>
          <w:i/>
          <w:sz w:val="24"/>
          <w:szCs w:val="24"/>
        </w:rPr>
        <w:t>muito alto</w:t>
      </w:r>
      <w:r>
        <w:rPr>
          <w:rFonts w:cs="Times New Roman" w:ascii="Times New Roman" w:hAnsi="Times New Roman"/>
          <w:sz w:val="24"/>
          <w:szCs w:val="24"/>
        </w:rPr>
        <w:t xml:space="preserve"> e </w:t>
      </w:r>
      <w:r>
        <w:rPr>
          <w:rFonts w:cs="Times New Roman" w:ascii="Times New Roman" w:hAnsi="Times New Roman"/>
          <w:i/>
          <w:sz w:val="24"/>
          <w:szCs w:val="24"/>
        </w:rPr>
        <w:t>alto</w:t>
      </w:r>
      <w:r>
        <w:rPr>
          <w:rFonts w:cs="Times New Roman" w:ascii="Times New Roman" w:hAnsi="Times New Roman"/>
          <w:sz w:val="24"/>
          <w:szCs w:val="24"/>
        </w:rPr>
        <w:t xml:space="preserve"> em todos os estratos, sobretudo nas empresas de maior porte. Nos dois últimos estratos </w:t>
      </w:r>
      <w:r>
        <w:rPr>
          <w:rFonts w:cs="Times New Roman" w:ascii="Times New Roman" w:hAnsi="Times New Roman"/>
          <w:i/>
          <w:sz w:val="24"/>
          <w:szCs w:val="24"/>
        </w:rPr>
        <w:t>muito alto</w:t>
      </w:r>
      <w:r>
        <w:rPr>
          <w:rFonts w:cs="Times New Roman" w:ascii="Times New Roman" w:hAnsi="Times New Roman"/>
          <w:sz w:val="24"/>
          <w:szCs w:val="24"/>
        </w:rPr>
        <w:t xml:space="preserve"> ganha total destaque. Ao contrário, </w:t>
      </w:r>
      <w:r>
        <w:rPr>
          <w:rFonts w:cs="Times New Roman" w:ascii="Times New Roman" w:hAnsi="Times New Roman"/>
          <w:i/>
          <w:sz w:val="24"/>
          <w:szCs w:val="24"/>
        </w:rPr>
        <w:t>baixo</w:t>
      </w:r>
      <w:r>
        <w:rPr>
          <w:rFonts w:cs="Times New Roman" w:ascii="Times New Roman" w:hAnsi="Times New Roman"/>
          <w:sz w:val="24"/>
          <w:szCs w:val="24"/>
        </w:rPr>
        <w:t xml:space="preserve"> aparece com maior peso relativo nos dois primeiros estratos. Curiosidade: </w:t>
      </w:r>
      <w:r>
        <w:rPr>
          <w:rFonts w:cs="Times New Roman" w:ascii="Times New Roman" w:hAnsi="Times New Roman"/>
          <w:i/>
          <w:sz w:val="24"/>
          <w:szCs w:val="24"/>
        </w:rPr>
        <w:t>muito baixo</w:t>
      </w:r>
      <w:r>
        <w:rPr>
          <w:rFonts w:cs="Times New Roman" w:ascii="Times New Roman" w:hAnsi="Times New Roman"/>
          <w:sz w:val="24"/>
          <w:szCs w:val="24"/>
        </w:rPr>
        <w:t xml:space="preserve"> ganha maior projeção no segundo e terceiro estratos.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Gráfico 42 – Distribuição dos Entrevistados Segundo o Índice de Posição na Área de TI e Porte das Empresas</w:t>
      </w:r>
    </w:p>
    <w:p>
      <w:pPr>
        <w:pStyle w:val="Normal"/>
        <w:spacing w:lineRule="auto" w:line="240" w:before="0" w:after="0"/>
        <w:jc w:val="center"/>
        <w:rPr>
          <w:rFonts w:ascii="Times New Roman" w:hAnsi="Times New Roman" w:cs="Times New Roman"/>
          <w:sz w:val="24"/>
          <w:szCs w:val="24"/>
        </w:rPr>
      </w:pPr>
      <w:r>
        <w:rPr/>
        <w:drawing>
          <wp:inline distT="0" distB="0" distL="0" distR="0">
            <wp:extent cx="5741670" cy="3091815"/>
            <wp:effectExtent l="0" t="0" r="0" b="0"/>
            <wp:docPr id="6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Normal"/>
        <w:spacing w:lineRule="auto" w:line="240" w:before="0" w:after="0"/>
        <w:ind w:left="1416" w:firstLine="708"/>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Na distinção por </w:t>
      </w:r>
      <w:r>
        <w:rPr>
          <w:rFonts w:cs="Times New Roman" w:ascii="Times New Roman" w:hAnsi="Times New Roman"/>
          <w:i/>
          <w:sz w:val="24"/>
          <w:szCs w:val="24"/>
        </w:rPr>
        <w:t>sexo</w:t>
      </w:r>
      <w:r>
        <w:rPr>
          <w:rFonts w:cs="Times New Roman" w:ascii="Times New Roman" w:hAnsi="Times New Roman"/>
          <w:sz w:val="24"/>
          <w:szCs w:val="24"/>
        </w:rPr>
        <w:t xml:space="preserve"> (Gráfico 43), fica evidente o contraste do Índice, sendo mais baixo para as mulheres e mais alto para os homens.</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Gráfico 43 – Distribuição dos Entrevistados Segundo o Índice de Posição na Área de TI e Sexo</w:t>
      </w:r>
    </w:p>
    <w:p>
      <w:pPr>
        <w:pStyle w:val="Normal"/>
        <w:spacing w:lineRule="auto" w:line="240" w:before="0" w:after="0"/>
        <w:jc w:val="center"/>
        <w:rPr>
          <w:rFonts w:ascii="Times New Roman" w:hAnsi="Times New Roman" w:cs="Times New Roman"/>
          <w:sz w:val="24"/>
          <w:szCs w:val="24"/>
        </w:rPr>
      </w:pPr>
      <w:r>
        <w:rPr/>
        <w:drawing>
          <wp:inline distT="0" distB="0" distL="0" distR="0">
            <wp:extent cx="4572000" cy="2254885"/>
            <wp:effectExtent l="0" t="0" r="0" b="0"/>
            <wp:docPr id="6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Normal"/>
        <w:spacing w:lineRule="auto" w:line="240" w:before="0" w:after="0"/>
        <w:ind w:left="1416" w:firstLine="708"/>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u w:val="single"/>
        </w:rPr>
        <w:t>Índice de Flexibilização das Relações de Trabalho</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Foram incluídos na sua composição 7 indicadores, os quais participaram com pesos proporcionais diferenciados: </w:t>
      </w:r>
      <w:r>
        <w:rPr>
          <w:rFonts w:cs="Times New Roman" w:ascii="Times New Roman" w:hAnsi="Times New Roman"/>
          <w:i/>
          <w:sz w:val="24"/>
          <w:szCs w:val="24"/>
        </w:rPr>
        <w:t>tipo de contrato de trabalho</w:t>
      </w:r>
      <w:r>
        <w:rPr>
          <w:rFonts w:cs="Times New Roman" w:ascii="Times New Roman" w:hAnsi="Times New Roman"/>
          <w:sz w:val="24"/>
          <w:szCs w:val="24"/>
        </w:rPr>
        <w:t xml:space="preserve"> (17%), </w:t>
      </w:r>
      <w:r>
        <w:rPr>
          <w:rFonts w:cs="Times New Roman" w:ascii="Times New Roman" w:hAnsi="Times New Roman"/>
          <w:i/>
          <w:sz w:val="24"/>
          <w:szCs w:val="24"/>
        </w:rPr>
        <w:t>com quem interage mais frequentemente no trabalho</w:t>
      </w:r>
      <w:r>
        <w:rPr>
          <w:rFonts w:cs="Times New Roman" w:ascii="Times New Roman" w:hAnsi="Times New Roman"/>
          <w:sz w:val="24"/>
          <w:szCs w:val="24"/>
        </w:rPr>
        <w:t xml:space="preserve"> (5%), </w:t>
      </w:r>
      <w:r>
        <w:rPr>
          <w:rFonts w:cs="Times New Roman" w:ascii="Times New Roman" w:hAnsi="Times New Roman"/>
          <w:i/>
          <w:sz w:val="24"/>
          <w:szCs w:val="24"/>
        </w:rPr>
        <w:t>onde despende o tempo de trabalho</w:t>
      </w:r>
      <w:r>
        <w:rPr>
          <w:rFonts w:cs="Times New Roman" w:ascii="Times New Roman" w:hAnsi="Times New Roman"/>
          <w:sz w:val="24"/>
          <w:szCs w:val="24"/>
        </w:rPr>
        <w:t xml:space="preserve"> (17%), </w:t>
      </w:r>
      <w:r>
        <w:rPr>
          <w:rFonts w:cs="Times New Roman" w:ascii="Times New Roman" w:hAnsi="Times New Roman"/>
          <w:i/>
          <w:sz w:val="24"/>
          <w:szCs w:val="24"/>
        </w:rPr>
        <w:t>jornada de trabalho</w:t>
      </w:r>
      <w:r>
        <w:rPr>
          <w:rFonts w:cs="Times New Roman" w:ascii="Times New Roman" w:hAnsi="Times New Roman"/>
          <w:sz w:val="24"/>
          <w:szCs w:val="24"/>
        </w:rPr>
        <w:t xml:space="preserve"> (10%), </w:t>
      </w:r>
      <w:r>
        <w:rPr>
          <w:rFonts w:cs="Times New Roman" w:ascii="Times New Roman" w:hAnsi="Times New Roman"/>
          <w:i/>
          <w:sz w:val="24"/>
          <w:szCs w:val="24"/>
        </w:rPr>
        <w:t>regime de contratação quanto à jornada de trabalho</w:t>
      </w:r>
      <w:r>
        <w:rPr>
          <w:rFonts w:cs="Times New Roman" w:ascii="Times New Roman" w:hAnsi="Times New Roman"/>
          <w:sz w:val="24"/>
          <w:szCs w:val="24"/>
        </w:rPr>
        <w:t xml:space="preserve"> (17%), </w:t>
      </w:r>
      <w:r>
        <w:rPr>
          <w:rFonts w:cs="Times New Roman" w:ascii="Times New Roman" w:hAnsi="Times New Roman"/>
          <w:i/>
          <w:sz w:val="24"/>
          <w:szCs w:val="24"/>
        </w:rPr>
        <w:t>regime de remuneração</w:t>
      </w:r>
      <w:r>
        <w:rPr>
          <w:rFonts w:cs="Times New Roman" w:ascii="Times New Roman" w:hAnsi="Times New Roman"/>
          <w:sz w:val="24"/>
          <w:szCs w:val="24"/>
        </w:rPr>
        <w:t xml:space="preserve"> (17%) e </w:t>
      </w:r>
      <w:r>
        <w:rPr>
          <w:rFonts w:cs="Times New Roman" w:ascii="Times New Roman" w:hAnsi="Times New Roman"/>
          <w:i/>
          <w:sz w:val="24"/>
          <w:szCs w:val="24"/>
        </w:rPr>
        <w:t>trabalho fora do horário padrão</w:t>
      </w:r>
      <w:r>
        <w:rPr>
          <w:rFonts w:cs="Times New Roman" w:ascii="Times New Roman" w:hAnsi="Times New Roman"/>
          <w:sz w:val="24"/>
          <w:szCs w:val="24"/>
        </w:rPr>
        <w:t xml:space="preserve"> (17%).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Conforme apurado, segundo o Índice proposto, nota-se (no Gráfico 44) uma grande concentração (81,9%) na categoria </w:t>
      </w:r>
      <w:r>
        <w:rPr>
          <w:rFonts w:cs="Times New Roman" w:ascii="Times New Roman" w:hAnsi="Times New Roman"/>
          <w:i/>
          <w:sz w:val="24"/>
          <w:szCs w:val="24"/>
        </w:rPr>
        <w:t>muito baixo</w:t>
      </w:r>
      <w:r>
        <w:rPr>
          <w:rFonts w:cs="Times New Roman" w:ascii="Times New Roman" w:hAnsi="Times New Roman"/>
          <w:sz w:val="24"/>
          <w:szCs w:val="24"/>
        </w:rPr>
        <w:t xml:space="preserve">. Ficou evidenciado, ao longo da análise, particularmente no segmento referido ao tema do </w:t>
      </w:r>
      <w:r>
        <w:rPr>
          <w:rFonts w:cs="Times New Roman" w:ascii="Times New Roman" w:hAnsi="Times New Roman"/>
          <w:i/>
          <w:sz w:val="24"/>
          <w:szCs w:val="24"/>
        </w:rPr>
        <w:t>trabalho</w:t>
      </w:r>
      <w:r>
        <w:rPr>
          <w:rFonts w:cs="Times New Roman" w:ascii="Times New Roman" w:hAnsi="Times New Roman"/>
          <w:sz w:val="24"/>
          <w:szCs w:val="24"/>
        </w:rPr>
        <w:t>, que o setor de TI(sw) em Pernambuco não incorporou ainda, de modo significativo, as novas tendências nos padrões de contratação e de remuneração, assim como as relações no ambiente do trabalho e os modelos de gestão da jornada de trabalho.</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Gráfico 44 – Distribuição dos Entrevistados</w:t>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Segundo o Índice Flexibilização das Relações de Trabalho</w:t>
      </w:r>
    </w:p>
    <w:p>
      <w:pPr>
        <w:pStyle w:val="Normal"/>
        <w:spacing w:lineRule="auto" w:line="240" w:before="0" w:after="0"/>
        <w:jc w:val="center"/>
        <w:rPr>
          <w:rFonts w:ascii="Times New Roman" w:hAnsi="Times New Roman" w:cs="Times New Roman"/>
          <w:sz w:val="24"/>
          <w:szCs w:val="24"/>
        </w:rPr>
      </w:pPr>
      <w:r>
        <w:rPr/>
        <w:drawing>
          <wp:inline distT="0" distB="0" distL="0" distR="0">
            <wp:extent cx="4572000" cy="2303780"/>
            <wp:effectExtent l="0" t="0" r="0" b="0"/>
            <wp:docPr id="6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Normal"/>
        <w:spacing w:lineRule="auto" w:line="240" w:before="0" w:after="0"/>
        <w:ind w:left="1416" w:firstLine="708"/>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u w:val="single"/>
        </w:rPr>
        <w:t>Índice de Participação Política e Sindical</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Foram incluídos na sua composição 6 indicadores, os quais participaram com pesos proporcionais diferenciados: </w:t>
      </w:r>
      <w:r>
        <w:rPr>
          <w:rFonts w:cs="Times New Roman" w:ascii="Times New Roman" w:hAnsi="Times New Roman"/>
          <w:i/>
          <w:sz w:val="24"/>
          <w:szCs w:val="24"/>
        </w:rPr>
        <w:t>interesse pela política</w:t>
      </w:r>
      <w:r>
        <w:rPr>
          <w:rFonts w:cs="Times New Roman" w:ascii="Times New Roman" w:hAnsi="Times New Roman"/>
          <w:sz w:val="24"/>
          <w:szCs w:val="24"/>
        </w:rPr>
        <w:t xml:space="preserve"> (20%), </w:t>
      </w:r>
      <w:r>
        <w:rPr>
          <w:rFonts w:cs="Times New Roman" w:ascii="Times New Roman" w:hAnsi="Times New Roman"/>
          <w:i/>
          <w:sz w:val="24"/>
          <w:szCs w:val="24"/>
        </w:rPr>
        <w:t>filiado a partido político</w:t>
      </w:r>
      <w:r>
        <w:rPr>
          <w:rFonts w:cs="Times New Roman" w:ascii="Times New Roman" w:hAnsi="Times New Roman"/>
          <w:sz w:val="24"/>
          <w:szCs w:val="24"/>
        </w:rPr>
        <w:t xml:space="preserve"> (10%), </w:t>
      </w:r>
      <w:r>
        <w:rPr>
          <w:rFonts w:cs="Times New Roman" w:ascii="Times New Roman" w:hAnsi="Times New Roman"/>
          <w:i/>
          <w:sz w:val="24"/>
          <w:szCs w:val="24"/>
        </w:rPr>
        <w:t>participa de associações ou movimentos</w:t>
      </w:r>
      <w:r>
        <w:rPr>
          <w:rFonts w:cs="Times New Roman" w:ascii="Times New Roman" w:hAnsi="Times New Roman"/>
          <w:sz w:val="24"/>
          <w:szCs w:val="24"/>
        </w:rPr>
        <w:t xml:space="preserve"> (25%), </w:t>
      </w:r>
      <w:r>
        <w:rPr>
          <w:rFonts w:cs="Times New Roman" w:ascii="Times New Roman" w:hAnsi="Times New Roman"/>
          <w:i/>
          <w:sz w:val="24"/>
          <w:szCs w:val="24"/>
        </w:rPr>
        <w:t>participou de atividades políticas nos últimos anos</w:t>
      </w:r>
      <w:r>
        <w:rPr>
          <w:rFonts w:cs="Times New Roman" w:ascii="Times New Roman" w:hAnsi="Times New Roman"/>
          <w:sz w:val="24"/>
          <w:szCs w:val="24"/>
        </w:rPr>
        <w:t xml:space="preserve"> (15%), </w:t>
      </w:r>
      <w:r>
        <w:rPr>
          <w:rFonts w:cs="Times New Roman" w:ascii="Times New Roman" w:hAnsi="Times New Roman"/>
          <w:i/>
          <w:sz w:val="24"/>
          <w:szCs w:val="24"/>
        </w:rPr>
        <w:t>participa das atividades do sindicato</w:t>
      </w:r>
      <w:r>
        <w:rPr>
          <w:rFonts w:cs="Times New Roman" w:ascii="Times New Roman" w:hAnsi="Times New Roman"/>
          <w:sz w:val="24"/>
          <w:szCs w:val="24"/>
        </w:rPr>
        <w:t xml:space="preserve"> (20%) e </w:t>
      </w:r>
      <w:r>
        <w:rPr>
          <w:rFonts w:cs="Times New Roman" w:ascii="Times New Roman" w:hAnsi="Times New Roman"/>
          <w:i/>
          <w:sz w:val="24"/>
          <w:szCs w:val="24"/>
        </w:rPr>
        <w:t>é sócio do Sindpd</w:t>
      </w:r>
      <w:r>
        <w:rPr>
          <w:rFonts w:cs="Times New Roman" w:ascii="Times New Roman" w:hAnsi="Times New Roman"/>
          <w:sz w:val="24"/>
          <w:szCs w:val="24"/>
        </w:rPr>
        <w:t xml:space="preserve"> (10%).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Constata-se, pelo Gráfico 45, que os níveis de participação se apresentam de modo geral muito baixos.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Gráfico 45 – Distribuição dos Entrevistados Segundo o Índice Participação Política e Sindical</w:t>
      </w:r>
    </w:p>
    <w:p>
      <w:pPr>
        <w:pStyle w:val="Normal"/>
        <w:spacing w:lineRule="auto" w:line="240" w:before="0" w:after="0"/>
        <w:jc w:val="center"/>
        <w:rPr>
          <w:rFonts w:ascii="Times New Roman" w:hAnsi="Times New Roman" w:cs="Times New Roman"/>
          <w:sz w:val="24"/>
          <w:szCs w:val="24"/>
        </w:rPr>
      </w:pPr>
      <w:r>
        <w:rPr/>
        <w:drawing>
          <wp:inline distT="0" distB="0" distL="0" distR="0">
            <wp:extent cx="4572000" cy="2232660"/>
            <wp:effectExtent l="0" t="0" r="0" b="0"/>
            <wp:docPr id="6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Normal"/>
        <w:spacing w:lineRule="auto" w:line="240" w:before="0" w:after="0"/>
        <w:ind w:left="1416" w:firstLine="708"/>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Contudo, o contraste é acentuado se se observa sua aplicação por Natureza Jurídica das Empresas. Nota-se uma situação diferenciada em favor dos entrevistados das empresas públicas, onde se concentram os maiores percentuais entre os que foram classificados nos grupos </w:t>
      </w:r>
      <w:r>
        <w:rPr>
          <w:rFonts w:cs="Times New Roman" w:ascii="Times New Roman" w:hAnsi="Times New Roman"/>
          <w:i/>
          <w:sz w:val="24"/>
          <w:szCs w:val="24"/>
        </w:rPr>
        <w:t>médio</w:t>
      </w:r>
      <w:r>
        <w:rPr>
          <w:rFonts w:cs="Times New Roman" w:ascii="Times New Roman" w:hAnsi="Times New Roman"/>
          <w:sz w:val="24"/>
          <w:szCs w:val="24"/>
        </w:rPr>
        <w:t xml:space="preserve">, </w:t>
      </w:r>
      <w:r>
        <w:rPr>
          <w:rFonts w:cs="Times New Roman" w:ascii="Times New Roman" w:hAnsi="Times New Roman"/>
          <w:i/>
          <w:sz w:val="24"/>
          <w:szCs w:val="24"/>
        </w:rPr>
        <w:t>alto</w:t>
      </w:r>
      <w:r>
        <w:rPr>
          <w:rFonts w:cs="Times New Roman" w:ascii="Times New Roman" w:hAnsi="Times New Roman"/>
          <w:sz w:val="24"/>
          <w:szCs w:val="24"/>
        </w:rPr>
        <w:t xml:space="preserve"> e </w:t>
      </w:r>
      <w:r>
        <w:rPr>
          <w:rFonts w:cs="Times New Roman" w:ascii="Times New Roman" w:hAnsi="Times New Roman"/>
          <w:i/>
          <w:sz w:val="24"/>
          <w:szCs w:val="24"/>
        </w:rPr>
        <w:t>muito alto</w:t>
      </w:r>
      <w:r>
        <w:rPr>
          <w:rFonts w:cs="Times New Roman" w:ascii="Times New Roman" w:hAnsi="Times New Roman"/>
          <w:sz w:val="24"/>
          <w:szCs w:val="24"/>
        </w:rPr>
        <w:t>.</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Gráfico 46 – Distribuição dos Entrevistados Segundo o Índice Participação Política e Sindical</w:t>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 xml:space="preserve"> </w:t>
      </w:r>
      <w:r>
        <w:rPr>
          <w:rFonts w:cs="Arial" w:ascii="Arial" w:hAnsi="Arial"/>
          <w:i/>
          <w:color w:val="000000" w:themeColor="text1"/>
          <w:sz w:val="20"/>
          <w:szCs w:val="20"/>
        </w:rPr>
        <w:t>e Natureza Jurídica das Empresas</w:t>
      </w:r>
    </w:p>
    <w:p>
      <w:pPr>
        <w:pStyle w:val="Normal"/>
        <w:spacing w:lineRule="auto" w:line="360" w:before="0" w:after="0"/>
        <w:ind w:firstLine="567"/>
        <w:jc w:val="both"/>
        <w:rPr>
          <w:rFonts w:ascii="Arial" w:hAnsi="Arial" w:cs="Arial"/>
          <w:i/>
          <w:i/>
          <w:color w:val="FF0000"/>
          <w:sz w:val="20"/>
          <w:szCs w:val="20"/>
        </w:rPr>
      </w:pPr>
      <w:r>
        <w:rPr/>
        <w:drawing>
          <wp:inline distT="0" distB="0" distL="0" distR="0">
            <wp:extent cx="4572000" cy="2272665"/>
            <wp:effectExtent l="0" t="0" r="0" b="0"/>
            <wp:docPr id="6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Normal"/>
        <w:spacing w:lineRule="auto" w:line="240" w:before="0" w:after="0"/>
        <w:ind w:left="1416" w:firstLine="708"/>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Gráfico 47 – Distribuição dos Entrevistados Segundo o Índice Participação Política e Sindical</w:t>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 xml:space="preserve"> </w:t>
      </w:r>
      <w:r>
        <w:rPr>
          <w:rFonts w:cs="Arial" w:ascii="Arial" w:hAnsi="Arial"/>
          <w:i/>
          <w:color w:val="000000" w:themeColor="text1"/>
          <w:sz w:val="20"/>
          <w:szCs w:val="20"/>
        </w:rPr>
        <w:t>e Porte das Empresas</w:t>
      </w:r>
    </w:p>
    <w:p>
      <w:pPr>
        <w:pStyle w:val="Normal"/>
        <w:spacing w:lineRule="auto" w:line="240" w:before="0" w:after="0"/>
        <w:jc w:val="center"/>
        <w:rPr>
          <w:rFonts w:ascii="Times New Roman" w:hAnsi="Times New Roman" w:cs="Times New Roman"/>
          <w:sz w:val="24"/>
          <w:szCs w:val="24"/>
        </w:rPr>
      </w:pPr>
      <w:r>
        <w:rPr/>
        <w:drawing>
          <wp:inline distT="0" distB="0" distL="0" distR="0">
            <wp:extent cx="5758180" cy="2393950"/>
            <wp:effectExtent l="0" t="0" r="0" b="0"/>
            <wp:docPr id="6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Normal"/>
        <w:spacing w:lineRule="auto" w:line="240" w:before="0" w:after="0"/>
        <w:ind w:left="1416" w:firstLine="708"/>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Fonte: Pesquisa SINDPD-PE 2017</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No que se refere a sexo, as maiores diferenças se encontram nos segmentos muito baixo e baixo, indicando um nível um pouco melhor de participação entre os homens (Gráfico 48).</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Gráfico 48</w:t>
      </w:r>
      <w:bookmarkStart w:id="0" w:name="_GoBack"/>
      <w:bookmarkEnd w:id="0"/>
      <w:r>
        <w:rPr>
          <w:rFonts w:cs="Arial" w:ascii="Arial" w:hAnsi="Arial"/>
          <w:i/>
          <w:color w:val="000000" w:themeColor="text1"/>
          <w:sz w:val="20"/>
          <w:szCs w:val="20"/>
        </w:rPr>
        <w:t xml:space="preserve"> – Distribuição dos Entrevistados Segundo o Índice Participação Política e Sindical</w:t>
      </w:r>
    </w:p>
    <w:p>
      <w:pPr>
        <w:pStyle w:val="Normal"/>
        <w:spacing w:lineRule="auto" w:line="240" w:before="0" w:after="0"/>
        <w:jc w:val="center"/>
        <w:rPr>
          <w:rFonts w:ascii="Arial" w:hAnsi="Arial" w:cs="Arial"/>
          <w:i/>
          <w:i/>
          <w:color w:val="000000" w:themeColor="text1"/>
          <w:sz w:val="20"/>
          <w:szCs w:val="20"/>
        </w:rPr>
      </w:pPr>
      <w:r>
        <w:rPr>
          <w:rFonts w:cs="Arial" w:ascii="Arial" w:hAnsi="Arial"/>
          <w:i/>
          <w:color w:val="000000" w:themeColor="text1"/>
          <w:sz w:val="20"/>
          <w:szCs w:val="20"/>
        </w:rPr>
        <w:t xml:space="preserve"> </w:t>
      </w:r>
      <w:r>
        <w:rPr>
          <w:rFonts w:cs="Arial" w:ascii="Arial" w:hAnsi="Arial"/>
          <w:i/>
          <w:color w:val="000000" w:themeColor="text1"/>
          <w:sz w:val="20"/>
          <w:szCs w:val="20"/>
        </w:rPr>
        <w:t>e Sexo</w:t>
      </w:r>
    </w:p>
    <w:p>
      <w:pPr>
        <w:pStyle w:val="Normal"/>
        <w:spacing w:lineRule="auto" w:line="360" w:before="0" w:after="0"/>
        <w:ind w:firstLine="567"/>
        <w:jc w:val="both"/>
        <w:rPr>
          <w:rFonts w:ascii="Times New Roman" w:hAnsi="Times New Roman" w:cs="Times New Roman"/>
          <w:sz w:val="24"/>
          <w:szCs w:val="24"/>
        </w:rPr>
      </w:pPr>
      <w:r>
        <w:rPr/>
        <w:drawing>
          <wp:inline distT="0" distB="0" distL="0" distR="0">
            <wp:extent cx="4572000" cy="2402840"/>
            <wp:effectExtent l="0" t="0" r="0" b="0"/>
            <wp:docPr id="6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Normal"/>
        <w:spacing w:lineRule="auto" w:line="240" w:before="0" w:after="0"/>
        <w:ind w:left="1416" w:firstLine="708"/>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Fonte: Pesquisa SINDPD-PE 2017</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b/>
          <w:b/>
          <w:sz w:val="24"/>
          <w:szCs w:val="24"/>
        </w:rPr>
      </w:pPr>
      <w:r>
        <w:rPr>
          <w:rFonts w:cs="Times New Roman" w:ascii="Times New Roman" w:hAnsi="Times New Roman"/>
          <w:b/>
          <w:sz w:val="24"/>
          <w:szCs w:val="24"/>
        </w:rPr>
        <w:t>2.12. Principais Constatações</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 segmento de trabalhadores de TI(sw) de Pernambuco tem um perfil diferenciado do conjunto dos trabalhadores e, mesmo, dos demais trabalhadores do segmento de TIC.</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Levando-se em conta o perfil médio dos trabalhadores do estado, os trabalhadores de TI(sw) são destacadamente jovens, de escolarização elevada, relativamente bem remunerados e mais masculinizados. São, ainda, relativamente pouco numerosos, mas vem apresentando, mesmo com a crise, uma persistente tendência de crescimento.</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Por outro lado, constituiu-se nesse setor uma destacada e diferenciada identidade socioprofissional, no qual ganham relevância a formação universitária, a qualificação profissional, a necessidade de qualificação permanente, a centralidade do conhecimento técnico como recurso de afirmação socioprofissional.</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Além disso, a presença majoritária do setor privado se consolida cada vez mais, em contraste com um passado no qual prevaleceram as empresas públicas.</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São marcantes os contrastes entre os trabalhadores das empresas públicas e privadas, assim como o são no que se refere ao porte das empresas (medido pelo número de trabalhadores contratados).</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A crescente presença de empresas privadas e a disseminação de novas empresas, entre pequenas, médias e grandes, tornou o segmento com maior presença de jovens, de solteiros, morando sozinhos ou com os pais, mais escolarizados, menos interessados no Sindicato e na política.</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A regulação das relações de trabalho ganha um componente mais privado, individualizado e centrado em temas e motivos profissionais (técnicos), tendo sido no passado mais centrado, em contraste, na ação coletiva, na conquista de direitos sociais e no tema da justiça social e da democracia.</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Contudo, não há um quadro definido, tendências definitivas.</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As relações de trabalho não se flexibilizaram, como se esperava que acontecesse, levando-se em consideração tanto o contexto político que se vive hoje, assim como a natureza do setor, parte constitutiva da economia informacional.</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Por outro lado, os sinais captados </w:t>
      </w:r>
      <w:r>
        <w:rPr>
          <w:rFonts w:cs="Times New Roman" w:ascii="Times New Roman" w:hAnsi="Times New Roman"/>
          <w:color w:val="000000" w:themeColor="text1"/>
          <w:sz w:val="24"/>
          <w:szCs w:val="24"/>
        </w:rPr>
        <w:t xml:space="preserve">na pesquisa </w:t>
      </w:r>
      <w:r>
        <w:rPr>
          <w:rFonts w:cs="Times New Roman" w:ascii="Times New Roman" w:hAnsi="Times New Roman"/>
          <w:sz w:val="24"/>
          <w:szCs w:val="24"/>
        </w:rPr>
        <w:t>indicam que não estão consolidadas posições anti-sindicais, politicamente retrógradas, sustentadas em uma religiosidade conservadora.</w:t>
      </w:r>
    </w:p>
    <w:p>
      <w:pPr>
        <w:pStyle w:val="ListParagraph"/>
        <w:numPr>
          <w:ilvl w:val="0"/>
          <w:numId w:val="5"/>
        </w:numPr>
        <w:spacing w:lineRule="auto" w:line="360" w:before="0" w:after="0"/>
        <w:contextualSpacing/>
        <w:jc w:val="both"/>
        <w:rPr/>
      </w:pPr>
      <w:r>
        <w:rPr>
          <w:rFonts w:cs="Times New Roman" w:ascii="Times New Roman" w:hAnsi="Times New Roman"/>
          <w:sz w:val="24"/>
          <w:szCs w:val="24"/>
        </w:rPr>
        <w:t>Por diversos caminhos, foi possível constatar que há, sim, um segmento dotado de posições liberal-conservadoras. Mas extremo oposto, com posições claramente progressistas/de esquerda, há um segmento remanescente do período anterior. Contudo, há ainda um terceiro segmento, composto por posições intermediárias, mistas, contraditórias, muitas vezes marcado pela desinformação. São três partes, sem contudo representarem porções iguais. É possível dizer que a segunda é minoritária e esta última, majoritária.</w:t>
      </w:r>
    </w:p>
    <w:sectPr>
      <w:footnotePr>
        <w:numFmt w:val="decimal"/>
      </w:footnote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 BLANCA">
    <w:charset w:val="00"/>
    <w:family w:val="roman"/>
    <w:pitch w:val="variable"/>
  </w:font>
  <w:font w:name="Arial Black">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jc w:val="both"/>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Para Porcaro (2013), apoiando-se no Censo de 2010, enquanto para a economia como um todo a ocupação informal (sem registro trabalhista e ou na previdência social) ultrapassou 37%, para a economia da informação ficou em torno de 20%. Neste último foram contabilizados: cerca de 12% dos assalariados, 62% dos conta própria e 22% dos empregadores, sendo que os assalariados representavam mais de 80% do conjunto dos ocupados, com 15% para os conta própria e de 3% para os empregadores.</w:t>
      </w:r>
    </w:p>
  </w:footnote>
  <w:footnote w:id="3">
    <w:p>
      <w:pPr>
        <w:pStyle w:val="Normal"/>
        <w:spacing w:lineRule="auto" w:line="240" w:before="0" w:after="0"/>
        <w:jc w:val="both"/>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Que incluem as Classes “Desenvolvimento de programas de computador sob encomenda”, “Desenvolvimento e licenciamento de programas de computador customizáveis”, “Desenvolvimento e licenciamento de programas de computador não-customizáveis”, “Consultoria em tecnologia da informação” e “Suporte técnico, manutenção e outros serviços em tecnologia da informação” (620) e “Tratamento de dados, provedores de serviços de aplicação e serviços de hospedagem na Internet” e “Portais, provedores de conteúdo e doutros serviços de informação na Internet” (631).</w:t>
      </w:r>
    </w:p>
  </w:footnote>
  <w:footnote w:id="4">
    <w:p>
      <w:pPr>
        <w:pStyle w:val="Normal"/>
        <w:spacing w:lineRule="auto" w:line="240" w:before="0" w:after="0"/>
        <w:jc w:val="both"/>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Mesmo considerando que tal procedimento não corrige totalmente a distorção (visto que não haveria como subtrair desse total os empregos não classificados como típicos do telemarketing, como os de natureza administrativa e comercial e outros), avaliamos que a corrige em grande medida, visto que (como destacado mais adiante) as ocupações citadas constituem a esmagadora maioria nos estabelecimentos de Teleatendimento.</w:t>
      </w:r>
    </w:p>
  </w:footnote>
  <w:footnote w:id="5">
    <w:p>
      <w:pPr>
        <w:pStyle w:val="Normal"/>
        <w:spacing w:lineRule="auto" w:line="240" w:before="0" w:after="0"/>
        <w:jc w:val="both"/>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Para simplificar, de agora por diante a denominação “trabalhadores em TI (segmento de software)” será grafada como “trabalhadores em TI(sw)”.</w:t>
      </w:r>
    </w:p>
  </w:footnote>
  <w:footnote w:id="6">
    <w:p>
      <w:pPr>
        <w:pStyle w:val="Normal"/>
        <w:spacing w:lineRule="auto" w:line="240" w:before="0" w:after="0"/>
        <w:jc w:val="both"/>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Neste trabalho, optamos por referências temporais diversas, de acordo com as conveniências em cada uso. Sempre que necessitarmos dar ênfase a variações no tempo nos utilizaremos do período de 2007 a 2016, seja comparando os dados para os dois anos situados nos extremos do intervalo, seja tratando de todos os anos entre eles. A escolha por 2007 como marco inicial se deveu a dois fatores principais: primeiro porque esse foi o primeiro ano da última modificação na CNAE, o que a tornou mais adequada à classificação das atividades do setor de TIC; segundo porque a contar de 2007 a 2016, quando foram divulgados os dados mais recentes, forma-se um intervalo de 10 anos, um período adequado para que se possa melhor observar a evolução do segmento em foco.</w:t>
      </w:r>
    </w:p>
  </w:footnote>
  <w:footnote w:id="7">
    <w:p>
      <w:pPr>
        <w:pStyle w:val="Normal"/>
        <w:spacing w:lineRule="auto" w:line="240" w:before="0" w:after="0"/>
        <w:jc w:val="both"/>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Trata-se da figura jurídica denominada </w:t>
      </w:r>
      <w:r>
        <w:rPr>
          <w:rFonts w:cs="Times New Roman" w:ascii="Times New Roman" w:hAnsi="Times New Roman"/>
          <w:i/>
          <w:sz w:val="20"/>
          <w:szCs w:val="20"/>
        </w:rPr>
        <w:t>Pessoa Jurídica de Direito Privado</w:t>
      </w:r>
      <w:r>
        <w:rPr>
          <w:rFonts w:cs="Times New Roman" w:ascii="Times New Roman" w:hAnsi="Times New Roman"/>
          <w:sz w:val="20"/>
          <w:szCs w:val="20"/>
        </w:rPr>
        <w:t xml:space="preserve">, prevista no Código Civil. Neste caso, diz respeito à contratação por empresas de trabalhadores individuais convertidos em “pessoa jurídica”, </w:t>
      </w:r>
      <w:r>
        <w:rPr>
          <w:rFonts w:cs="Times New Roman" w:ascii="Times New Roman" w:hAnsi="Times New Roman"/>
          <w:color w:val="000000" w:themeColor="text1"/>
          <w:sz w:val="20"/>
          <w:szCs w:val="20"/>
        </w:rPr>
        <w:t xml:space="preserve">com </w:t>
      </w:r>
      <w:r>
        <w:rPr>
          <w:rFonts w:cs="Times New Roman" w:ascii="Times New Roman" w:hAnsi="Times New Roman"/>
          <w:sz w:val="20"/>
          <w:szCs w:val="20"/>
        </w:rPr>
        <w:t xml:space="preserve">os quais ao invés de um </w:t>
      </w:r>
      <w:r>
        <w:rPr>
          <w:rFonts w:cs="Times New Roman" w:ascii="Times New Roman" w:hAnsi="Times New Roman"/>
          <w:i/>
          <w:sz w:val="20"/>
          <w:szCs w:val="20"/>
        </w:rPr>
        <w:t>contrato de trabalho</w:t>
      </w:r>
      <w:r>
        <w:rPr>
          <w:rFonts w:cs="Times New Roman" w:ascii="Times New Roman" w:hAnsi="Times New Roman"/>
          <w:sz w:val="20"/>
          <w:szCs w:val="20"/>
        </w:rPr>
        <w:t xml:space="preserve"> firma-se um </w:t>
      </w:r>
      <w:r>
        <w:rPr>
          <w:rFonts w:cs="Times New Roman" w:ascii="Times New Roman" w:hAnsi="Times New Roman"/>
          <w:i/>
          <w:sz w:val="20"/>
          <w:szCs w:val="20"/>
        </w:rPr>
        <w:t>contrato comercial</w:t>
      </w:r>
      <w:r>
        <w:rPr>
          <w:rFonts w:cs="Times New Roman" w:ascii="Times New Roman" w:hAnsi="Times New Roman"/>
          <w:sz w:val="20"/>
          <w:szCs w:val="20"/>
        </w:rPr>
        <w:t>. É usado fartamente como recurso para disfarçar relações de emprego e, com isso, evitar-se os custos trabalhistas.</w:t>
      </w:r>
    </w:p>
  </w:footnote>
  <w:footnote w:id="8">
    <w:p>
      <w:pPr>
        <w:pStyle w:val="Normal"/>
        <w:spacing w:lineRule="auto" w:line="240" w:before="0" w:after="0"/>
        <w:jc w:val="both"/>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Que incluem as </w:t>
      </w:r>
      <w:r>
        <w:rPr>
          <w:rFonts w:cs="Times New Roman" w:ascii="Times New Roman" w:hAnsi="Times New Roman"/>
          <w:i/>
          <w:sz w:val="20"/>
          <w:szCs w:val="20"/>
        </w:rPr>
        <w:t>Classes</w:t>
      </w:r>
      <w:r>
        <w:rPr>
          <w:rFonts w:cs="Times New Roman" w:ascii="Times New Roman" w:hAnsi="Times New Roman"/>
          <w:sz w:val="20"/>
          <w:szCs w:val="20"/>
        </w:rPr>
        <w:t xml:space="preserve"> “Desenvolvimento de programas de computador sob encomenda”, “Desenvolvimento e licenciamento de programas de computador customizáveis”, “Desenvolvimento e licenciamento de programas de computador não-customizáveis”, “Consultoria em tecnologia da informação” e “Suporte técnico, manutenção e outros serviços em tecnologia da informação” (620) e “Tratamento de dados, provedores de serviços de aplicação e serviços de hospedagem na Internet” e “Portais, provedores de conteúdo e doutros serviços de informação na Internet” (631).</w:t>
      </w:r>
    </w:p>
  </w:footnote>
  <w:footnote w:id="9">
    <w:p>
      <w:pPr>
        <w:pStyle w:val="Normal"/>
        <w:spacing w:lineRule="auto" w:line="240" w:before="0" w:after="0"/>
        <w:jc w:val="both"/>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Ao final, foram aplicados 604 questionários, como veremos mais adiante.</w:t>
      </w:r>
    </w:p>
  </w:footnote>
  <w:footnote w:id="10">
    <w:p>
      <w:pPr>
        <w:pStyle w:val="Normal"/>
        <w:spacing w:lineRule="auto" w:line="240" w:before="0" w:after="0"/>
        <w:jc w:val="both"/>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Elaborado por Pedro César Gondim Feitosa.</w:t>
      </w:r>
    </w:p>
  </w:footnote>
  <w:footnote w:id="11">
    <w:p>
      <w:pPr>
        <w:pStyle w:val="Notaderodap"/>
        <w:jc w:val="both"/>
        <w:rPr/>
      </w:pPr>
      <w:r>
        <w:rPr>
          <w:rStyle w:val="Caracteresdenotaderodap"/>
        </w:rPr>
        <w:footnoteRef/>
      </w:r>
      <w:r>
        <w:rPr>
          <w:rFonts w:cs="Times New Roman" w:ascii="Times New Roman" w:hAnsi="Times New Roman"/>
        </w:rPr>
        <w:t xml:space="preserve"> </w:t>
      </w:r>
      <w:r>
        <w:rPr>
          <w:rFonts w:cs="Times New Roman" w:ascii="Times New Roman" w:hAnsi="Times New Roman"/>
        </w:rPr>
        <w:t>Considere-se, contudo, que o Questionário não contemplou um quesito sobre Participação nos Lucros e Resultados – PLR, recurso que implica em tornar variável parte da remuneração.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7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07e9"/>
    <w:pPr>
      <w:widowControl/>
      <w:bidi w:val="0"/>
      <w:spacing w:lineRule="auto" w:line="276" w:before="0" w:after="200"/>
      <w:jc w:val="left"/>
    </w:pPr>
    <w:rPr>
      <w:rFonts w:eastAsia="" w:eastAsiaTheme="minorEastAsia" w:ascii="Calibri" w:hAnsi="Calibri" w:cs=""/>
      <w:color w:val="auto"/>
      <w:kern w:val="0"/>
      <w:sz w:val="22"/>
      <w:szCs w:val="22"/>
      <w:lang w:eastAsia="pt-BR" w:val="pt-BR" w:bidi="ar-SA"/>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qFormat/>
    <w:rsid w:val="00756413"/>
    <w:rPr>
      <w:rFonts w:eastAsia="" w:eastAsiaTheme="minorEastAsia"/>
      <w:sz w:val="20"/>
      <w:szCs w:val="20"/>
      <w:lang w:eastAsia="pt-BR"/>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756413"/>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taderodap">
    <w:name w:val="Footnote Text"/>
    <w:basedOn w:val="Normal"/>
    <w:link w:val="TextodenotaderodapChar"/>
    <w:uiPriority w:val="99"/>
    <w:unhideWhenUsed/>
    <w:rsid w:val="00756413"/>
    <w:pPr>
      <w:spacing w:lineRule="auto" w:line="240" w:before="0" w:after="0"/>
    </w:pPr>
    <w:rPr>
      <w:sz w:val="20"/>
      <w:szCs w:val="20"/>
    </w:rPr>
  </w:style>
  <w:style w:type="paragraph" w:styleId="ListParagraph">
    <w:name w:val="List Paragraph"/>
    <w:basedOn w:val="Normal"/>
    <w:uiPriority w:val="34"/>
    <w:qFormat/>
    <w:rsid w:val="00f3276e"/>
    <w:pPr>
      <w:spacing w:before="0" w:after="20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deGrade2-nfase3">
    <w:name w:val="Grid Table 2 Accent 3"/>
    <w:basedOn w:val="Tabelanormal"/>
    <w:uiPriority w:val="47"/>
    <w:rsid w:val="00f607e9"/>
    <w:pPr>
      <w:spacing w:after="0" w:line="240" w:lineRule="auto"/>
    </w:pPr>
    <w:rPr>
      <w:rFonts w:eastAsiaTheme="minorEastAsia"/>
      <w:lang w:eastAsia="pt-BR"/>
    </w:rPr>
    <w:tblPr>
      <w:tblStyleRowBandSize w:val="1"/>
      <w:tblStyleColBandSize w:val="1"/>
      <w:tblInd w:w="0" w:type="dxa"/>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CellMar>
        <w:top w:w="0" w:type="dxa"/>
        <w:left w:w="108" w:type="dxa"/>
        <w:bottom w:w="0" w:type="dxa"/>
        <w:right w:w="108" w:type="dxa"/>
      </w:tblCellMar>
    </w:tblPr>
    <w:tblStylePr w:type="firstRow">
      <w:rPr>
        <w:b/>
        <w:bCs/>
      </w:rPr>
      <w:tblPr/>
      <w:tcPr>
        <w:tcBorders>
          <w:top w:val="nil"/>
          <w:bottom w:val="single" w:color="C9C9C9" w:themeColor="accent3" w:sz="12" w:space="0"/>
          <w:insideH w:val="nil"/>
          <w:insideV w:val="nil"/>
        </w:tcBorders>
        <w:shd w:val="clear" w:color="auto" w:fill="FFFFFF" w:themeFill="background1"/>
      </w:tcPr>
    </w:tblStylePr>
    <w:tblStylePr w:type="lastRow">
      <w:rPr>
        <w:b/>
        <w:bCs/>
      </w:rPr>
      <w:tblPr/>
      <w:tcPr>
        <w:tcBorders>
          <w:top w:val="double" w:color="C9C9C9"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comgrade">
    <w:name w:val="Table Grid"/>
    <w:basedOn w:val="TabelaSimples1"/>
    <w:uiPriority w:val="59"/>
    <w:rsid w:val="00f607e9"/>
    <w:rPr>
      <w:rFonts w:eastAsiaTheme="minorEastAsia"/>
      <w:lang w:eastAsia="pt-BR"/>
      <w:sz w:val="20"/>
      <w:szCs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aSimples1">
    <w:name w:val="Plain Table 1"/>
    <w:basedOn w:val="Tabelanormal"/>
    <w:uiPriority w:val="41"/>
    <w:rsid w:val="00f607e9"/>
    <w:pPr>
      <w:spacing w:after="0" w:line="240" w:lineRule="auto"/>
    </w:pPr>
    <w:tblPr>
      <w:tblStyleRowBandSize w:val="1"/>
      <w:tblStyleColBandSize w:val="1"/>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hart" Target="charts/chart1.xml"/><Relationship Id="rId4" Type="http://schemas.openxmlformats.org/officeDocument/2006/relationships/chart" Target="charts/chart2.xml"/><Relationship Id="rId5" Type="http://schemas.openxmlformats.org/officeDocument/2006/relationships/chart" Target="charts/chart3.xml"/><Relationship Id="rId6" Type="http://schemas.openxmlformats.org/officeDocument/2006/relationships/image" Target="media/image2.jpeg"/><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chart" Target="charts/chart7.xml"/><Relationship Id="rId11" Type="http://schemas.openxmlformats.org/officeDocument/2006/relationships/chart" Target="charts/chart8.xml"/><Relationship Id="rId12" Type="http://schemas.openxmlformats.org/officeDocument/2006/relationships/chart" Target="charts/chart9.xml"/><Relationship Id="rId13" Type="http://schemas.openxmlformats.org/officeDocument/2006/relationships/chart" Target="charts/chart10.xml"/><Relationship Id="rId14" Type="http://schemas.openxmlformats.org/officeDocument/2006/relationships/chart" Target="charts/chart11.xml"/><Relationship Id="rId15" Type="http://schemas.openxmlformats.org/officeDocument/2006/relationships/chart" Target="charts/chart12.xml"/><Relationship Id="rId16" Type="http://schemas.openxmlformats.org/officeDocument/2006/relationships/chart" Target="charts/chart13.xml"/><Relationship Id="rId17" Type="http://schemas.openxmlformats.org/officeDocument/2006/relationships/chart" Target="charts/chart14.xml"/><Relationship Id="rId18" Type="http://schemas.openxmlformats.org/officeDocument/2006/relationships/chart" Target="charts/chart15.xml"/><Relationship Id="rId19" Type="http://schemas.openxmlformats.org/officeDocument/2006/relationships/chart" Target="charts/chart16.xml"/><Relationship Id="rId20" Type="http://schemas.openxmlformats.org/officeDocument/2006/relationships/chart" Target="charts/chart17.xml"/><Relationship Id="rId21" Type="http://schemas.openxmlformats.org/officeDocument/2006/relationships/chart" Target="charts/chart18.xml"/><Relationship Id="rId22" Type="http://schemas.openxmlformats.org/officeDocument/2006/relationships/chart" Target="charts/chart19.xml"/><Relationship Id="rId23" Type="http://schemas.openxmlformats.org/officeDocument/2006/relationships/chart" Target="charts/chart20.xml"/><Relationship Id="rId24" Type="http://schemas.openxmlformats.org/officeDocument/2006/relationships/chart" Target="charts/chart21.xml"/><Relationship Id="rId25" Type="http://schemas.openxmlformats.org/officeDocument/2006/relationships/chart" Target="charts/chart22.xml"/><Relationship Id="rId26" Type="http://schemas.openxmlformats.org/officeDocument/2006/relationships/chart" Target="charts/chart23.xml"/><Relationship Id="rId27" Type="http://schemas.openxmlformats.org/officeDocument/2006/relationships/chart" Target="charts/chart24.xml"/><Relationship Id="rId28" Type="http://schemas.openxmlformats.org/officeDocument/2006/relationships/chart" Target="charts/chart25.xml"/><Relationship Id="rId29" Type="http://schemas.openxmlformats.org/officeDocument/2006/relationships/chart" Target="charts/chart26.xml"/><Relationship Id="rId30" Type="http://schemas.openxmlformats.org/officeDocument/2006/relationships/chart" Target="charts/chart27.xml"/><Relationship Id="rId31" Type="http://schemas.openxmlformats.org/officeDocument/2006/relationships/chart" Target="charts/chart28.xml"/><Relationship Id="rId32" Type="http://schemas.openxmlformats.org/officeDocument/2006/relationships/chart" Target="charts/chart29.xml"/><Relationship Id="rId33" Type="http://schemas.openxmlformats.org/officeDocument/2006/relationships/chart" Target="charts/chart30.xml"/><Relationship Id="rId34" Type="http://schemas.openxmlformats.org/officeDocument/2006/relationships/chart" Target="charts/chart31.xml"/><Relationship Id="rId35" Type="http://schemas.openxmlformats.org/officeDocument/2006/relationships/chart" Target="charts/chart32.xml"/><Relationship Id="rId36" Type="http://schemas.openxmlformats.org/officeDocument/2006/relationships/chart" Target="charts/chart33.xml"/><Relationship Id="rId37" Type="http://schemas.openxmlformats.org/officeDocument/2006/relationships/chart" Target="charts/chart34.xml"/><Relationship Id="rId38" Type="http://schemas.openxmlformats.org/officeDocument/2006/relationships/chart" Target="charts/chart35.xml"/><Relationship Id="rId39" Type="http://schemas.openxmlformats.org/officeDocument/2006/relationships/chart" Target="charts/chart36.xml"/><Relationship Id="rId40" Type="http://schemas.openxmlformats.org/officeDocument/2006/relationships/chart" Target="charts/chart37.xml"/><Relationship Id="rId41" Type="http://schemas.openxmlformats.org/officeDocument/2006/relationships/chart" Target="charts/chart38.xml"/><Relationship Id="rId42" Type="http://schemas.openxmlformats.org/officeDocument/2006/relationships/chart" Target="charts/chart39.xml"/><Relationship Id="rId43" Type="http://schemas.openxmlformats.org/officeDocument/2006/relationships/chart" Target="charts/chart40.xml"/><Relationship Id="rId44" Type="http://schemas.openxmlformats.org/officeDocument/2006/relationships/chart" Target="charts/chart41.xml"/><Relationship Id="rId45" Type="http://schemas.openxmlformats.org/officeDocument/2006/relationships/chart" Target="charts/chart42.xml"/><Relationship Id="rId46" Type="http://schemas.openxmlformats.org/officeDocument/2006/relationships/chart" Target="charts/chart43.xml"/><Relationship Id="rId47" Type="http://schemas.openxmlformats.org/officeDocument/2006/relationships/chart" Target="charts/chart44.xml"/><Relationship Id="rId48" Type="http://schemas.openxmlformats.org/officeDocument/2006/relationships/chart" Target="charts/chart45.xml"/><Relationship Id="rId49" Type="http://schemas.openxmlformats.org/officeDocument/2006/relationships/chart" Target="charts/chart46.xml"/><Relationship Id="rId50" Type="http://schemas.openxmlformats.org/officeDocument/2006/relationships/chart" Target="charts/chart47.xml"/><Relationship Id="rId51" Type="http://schemas.openxmlformats.org/officeDocument/2006/relationships/chart" Target="charts/chart48.xml"/><Relationship Id="rId52" Type="http://schemas.openxmlformats.org/officeDocument/2006/relationships/chart" Target="charts/chart49.xml"/><Relationship Id="rId53" Type="http://schemas.openxmlformats.org/officeDocument/2006/relationships/chart" Target="charts/chart50.xml"/><Relationship Id="rId54" Type="http://schemas.openxmlformats.org/officeDocument/2006/relationships/chart" Target="charts/chart51.xml"/><Relationship Id="rId55" Type="http://schemas.openxmlformats.org/officeDocument/2006/relationships/chart" Target="charts/chart52.xml"/><Relationship Id="rId56" Type="http://schemas.openxmlformats.org/officeDocument/2006/relationships/chart" Target="charts/chart53.xml"/><Relationship Id="rId57" Type="http://schemas.openxmlformats.org/officeDocument/2006/relationships/chart" Target="charts/chart54.xml"/><Relationship Id="rId58" Type="http://schemas.openxmlformats.org/officeDocument/2006/relationships/chart" Target="charts/chart55.xml"/><Relationship Id="rId59" Type="http://schemas.openxmlformats.org/officeDocument/2006/relationships/chart" Target="charts/chart56.xml"/><Relationship Id="rId60" Type="http://schemas.openxmlformats.org/officeDocument/2006/relationships/chart" Target="charts/chart57.xml"/><Relationship Id="rId61" Type="http://schemas.openxmlformats.org/officeDocument/2006/relationships/chart" Target="charts/chart58.xml"/><Relationship Id="rId62" Type="http://schemas.openxmlformats.org/officeDocument/2006/relationships/chart" Target="charts/chart59.xml"/><Relationship Id="rId63" Type="http://schemas.openxmlformats.org/officeDocument/2006/relationships/chart" Target="charts/chart60.xml"/><Relationship Id="rId64" Type="http://schemas.openxmlformats.org/officeDocument/2006/relationships/chart" Target="charts/chart61.xml"/><Relationship Id="rId65" Type="http://schemas.openxmlformats.org/officeDocument/2006/relationships/chart" Target="charts/chart62.xml"/><Relationship Id="rId66" Type="http://schemas.openxmlformats.org/officeDocument/2006/relationships/chart" Target="charts/chart63.xml"/><Relationship Id="rId67" Type="http://schemas.openxmlformats.org/officeDocument/2006/relationships/chart" Target="charts/chart64.xml"/><Relationship Id="rId68" Type="http://schemas.openxmlformats.org/officeDocument/2006/relationships/chart" Target="charts/chart65.xml"/><Relationship Id="rId69" Type="http://schemas.openxmlformats.org/officeDocument/2006/relationships/chart" Target="charts/chart66.xml"/><Relationship Id="rId70" Type="http://schemas.openxmlformats.org/officeDocument/2006/relationships/footnotes" Target="footnotes.xml"/><Relationship Id="rId71" Type="http://schemas.openxmlformats.org/officeDocument/2006/relationships/numbering" Target="numbering.xml"/><Relationship Id="rId72" Type="http://schemas.openxmlformats.org/officeDocument/2006/relationships/fontTable" Target="fontTable.xml"/><Relationship Id="rId73" Type="http://schemas.openxmlformats.org/officeDocument/2006/relationships/settings" Target="settings.xml"/><Relationship Id="rId74"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6480">
          <a:solidFill>
            <a:srgbClr val="8b8b8b"/>
          </a:solidFill>
          <a:round/>
        </a:ln>
      </c:spPr>
    </c:floor>
    <c:sideWall>
      <c:spPr>
        <a:noFill/>
        <a:ln w="6480">
          <a:solidFill>
            <a:srgbClr val="8b8b8b"/>
          </a:solidFill>
          <a:round/>
        </a:ln>
      </c:spPr>
    </c:sideWall>
    <c:backWall>
      <c:spPr>
        <a:noFill/>
        <a:ln w="6480">
          <a:solidFill>
            <a:srgbClr val="8b8b8b"/>
          </a:solidFill>
          <a:round/>
        </a:ln>
      </c:spPr>
    </c:backWall>
    <c:plotArea>
      <c:bar3DChart>
        <c:barDir val="col"/>
        <c:grouping val="clustered"/>
        <c:varyColors val="0"/>
        <c:ser>
          <c:idx val="0"/>
          <c:order val="0"/>
          <c:tx>
            <c:strRef>
              <c:f>label 0</c:f>
              <c:strCache>
                <c:ptCount val="1"/>
                <c:pt idx="0">
                  <c:v>2007</c:v>
                </c:pt>
              </c:strCache>
            </c:strRef>
          </c:tx>
          <c:spPr>
            <a:solidFill>
              <a:srgbClr val="5b9bd5"/>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strRef>
              <c:f>categories</c:f>
              <c:strCache>
                <c:ptCount val="9"/>
                <c:pt idx="0">
                  <c:v>Maranhão</c:v>
                </c:pt>
                <c:pt idx="1">
                  <c:v>Piauí</c:v>
                </c:pt>
                <c:pt idx="2">
                  <c:v>Ceará</c:v>
                </c:pt>
                <c:pt idx="3">
                  <c:v>Rio Grande do Norte</c:v>
                </c:pt>
                <c:pt idx="4">
                  <c:v>Paraíba</c:v>
                </c:pt>
                <c:pt idx="5">
                  <c:v>Pernambuco</c:v>
                </c:pt>
                <c:pt idx="6">
                  <c:v>Alagoas</c:v>
                </c:pt>
                <c:pt idx="7">
                  <c:v>Sergipe</c:v>
                </c:pt>
                <c:pt idx="8">
                  <c:v>Bahia</c:v>
                </c:pt>
              </c:strCache>
            </c:strRef>
          </c:cat>
          <c:val>
            <c:numRef>
              <c:f>0</c:f>
              <c:numCache>
                <c:formatCode>General</c:formatCode>
                <c:ptCount val="9"/>
                <c:pt idx="0">
                  <c:v>409</c:v>
                </c:pt>
                <c:pt idx="1">
                  <c:v>327</c:v>
                </c:pt>
                <c:pt idx="2">
                  <c:v>3315</c:v>
                </c:pt>
                <c:pt idx="3">
                  <c:v>1885</c:v>
                </c:pt>
                <c:pt idx="4">
                  <c:v>1179</c:v>
                </c:pt>
                <c:pt idx="5">
                  <c:v>4409</c:v>
                </c:pt>
                <c:pt idx="6">
                  <c:v>394</c:v>
                </c:pt>
                <c:pt idx="7">
                  <c:v>529</c:v>
                </c:pt>
                <c:pt idx="8">
                  <c:v>5635</c:v>
                </c:pt>
              </c:numCache>
            </c:numRef>
          </c:val>
        </c:ser>
        <c:ser>
          <c:idx val="1"/>
          <c:order val="1"/>
          <c:tx>
            <c:strRef>
              <c:f>label 1</c:f>
              <c:strCache>
                <c:ptCount val="1"/>
                <c:pt idx="0">
                  <c:v>2017</c:v>
                </c:pt>
              </c:strCache>
            </c:strRef>
          </c:tx>
          <c:spPr>
            <a:solidFill>
              <a:srgbClr val="ed7d31"/>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strRef>
              <c:f>categories</c:f>
              <c:strCache>
                <c:ptCount val="9"/>
                <c:pt idx="0">
                  <c:v>Maranhão</c:v>
                </c:pt>
                <c:pt idx="1">
                  <c:v>Piauí</c:v>
                </c:pt>
                <c:pt idx="2">
                  <c:v>Ceará</c:v>
                </c:pt>
                <c:pt idx="3">
                  <c:v>Rio Grande do Norte</c:v>
                </c:pt>
                <c:pt idx="4">
                  <c:v>Paraíba</c:v>
                </c:pt>
                <c:pt idx="5">
                  <c:v>Pernambuco</c:v>
                </c:pt>
                <c:pt idx="6">
                  <c:v>Alagoas</c:v>
                </c:pt>
                <c:pt idx="7">
                  <c:v>Sergipe</c:v>
                </c:pt>
                <c:pt idx="8">
                  <c:v>Bahia</c:v>
                </c:pt>
              </c:strCache>
            </c:strRef>
          </c:cat>
          <c:val>
            <c:numRef>
              <c:f>1</c:f>
              <c:numCache>
                <c:formatCode>General</c:formatCode>
                <c:ptCount val="9"/>
                <c:pt idx="0">
                  <c:v>1321</c:v>
                </c:pt>
                <c:pt idx="1">
                  <c:v>752</c:v>
                </c:pt>
                <c:pt idx="2">
                  <c:v>7190</c:v>
                </c:pt>
                <c:pt idx="3">
                  <c:v>2032</c:v>
                </c:pt>
                <c:pt idx="4">
                  <c:v>2065</c:v>
                </c:pt>
                <c:pt idx="5">
                  <c:v>8726</c:v>
                </c:pt>
                <c:pt idx="6">
                  <c:v>1016</c:v>
                </c:pt>
                <c:pt idx="7">
                  <c:v>1102</c:v>
                </c:pt>
                <c:pt idx="8">
                  <c:v>7537</c:v>
                </c:pt>
              </c:numCache>
            </c:numRef>
          </c:val>
        </c:ser>
        <c:gapWidth val="150"/>
        <c:shape val="box"/>
        <c:axId val="80945224"/>
        <c:axId val="28354328"/>
        <c:axId val="0"/>
      </c:bar3DChart>
      <c:catAx>
        <c:axId val="80945224"/>
        <c:scaling>
          <c:orientation val="minMax"/>
        </c:scaling>
        <c:delete val="0"/>
        <c:axPos val="b"/>
        <c:numFmt formatCode="[$-416]DD/MM/YYYY" sourceLinked="1"/>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28354328"/>
        <c:crosses val="autoZero"/>
        <c:auto val="1"/>
        <c:lblAlgn val="ctr"/>
        <c:lblOffset val="100"/>
      </c:catAx>
      <c:valAx>
        <c:axId val="28354328"/>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80945224"/>
        <c:crosses val="autoZero"/>
      </c:valAx>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a:noFill/>
    </a:ln>
  </c:spPr>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bar"/>
        <c:grouping val="clustered"/>
        <c:varyColors val="0"/>
        <c:ser>
          <c:idx val="0"/>
          <c:order val="0"/>
          <c:tx>
            <c:strRef>
              <c:f>label 0</c:f>
              <c:strCache>
                <c:ptCount val="1"/>
                <c:pt idx="0">
                  <c:v/>
                </c:pt>
              </c:strCache>
            </c:strRef>
          </c:tx>
          <c:spPr>
            <a:solidFill>
              <a:srgbClr val="5b9bd5">
                <a:alpha val="88000"/>
              </a:srgbClr>
            </a:solidFill>
            <a:ln>
              <a:solidFill>
                <a:srgbClr val="1f4e79"/>
              </a:solidFill>
            </a:ln>
          </c:spPr>
          <c:invertIfNegative val="0"/>
          <c:dPt>
            <c:idx val="0"/>
            <c:invertIfNegative val="0"/>
            <c:spPr>
              <a:solidFill>
                <a:srgbClr val="5b9bd5">
                  <a:alpha val="88000"/>
                </a:srgbClr>
              </a:solidFill>
              <a:ln>
                <a:solidFill>
                  <a:srgbClr val="1f4e79"/>
                </a:solidFill>
              </a:ln>
            </c:spPr>
          </c:dPt>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Pt>
            <c:idx val="5"/>
            <c:invertIfNegative val="0"/>
            <c:spPr>
              <a:solidFill>
                <a:srgbClr val="5b9bd5">
                  <a:alpha val="88000"/>
                </a:srgbClr>
              </a:solidFill>
              <a:ln>
                <a:solidFill>
                  <a:srgbClr val="1f4e79"/>
                </a:solidFill>
              </a:ln>
            </c:spPr>
          </c:dPt>
          <c:dPt>
            <c:idx val="6"/>
            <c:invertIfNegative val="0"/>
            <c:spPr>
              <a:solidFill>
                <a:srgbClr val="5b9bd5">
                  <a:alpha val="88000"/>
                </a:srgbClr>
              </a:solidFill>
              <a:ln>
                <a:solidFill>
                  <a:srgbClr val="1f4e79"/>
                </a:solidFill>
              </a:ln>
            </c:spPr>
          </c:dPt>
          <c:dPt>
            <c:idx val="7"/>
            <c:invertIfNegative val="0"/>
            <c:spPr>
              <a:solidFill>
                <a:srgbClr val="5b9bd5">
                  <a:alpha val="88000"/>
                </a:srgbClr>
              </a:solidFill>
              <a:ln>
                <a:solidFill>
                  <a:srgbClr val="1f4e79"/>
                </a:solidFill>
              </a:ln>
            </c:spPr>
          </c:dPt>
          <c:dPt>
            <c:idx val="8"/>
            <c:invertIfNegative val="0"/>
            <c:spPr>
              <a:solidFill>
                <a:srgbClr val="5b9bd5">
                  <a:alpha val="88000"/>
                </a:srgbClr>
              </a:solidFill>
              <a:ln>
                <a:solidFill>
                  <a:srgbClr val="1f4e79"/>
                </a:solidFill>
              </a:ln>
            </c:spPr>
          </c:dPt>
          <c:dPt>
            <c:idx val="9"/>
            <c:invertIfNegative val="0"/>
            <c:spPr>
              <a:solidFill>
                <a:srgbClr val="5b9bd5">
                  <a:alpha val="88000"/>
                </a:srgbClr>
              </a:solidFill>
              <a:ln>
                <a:solidFill>
                  <a:srgbClr val="1f4e79"/>
                </a:solidFill>
              </a:ln>
            </c:spPr>
          </c:dPt>
          <c:dPt>
            <c:idx val="10"/>
            <c:invertIfNegative val="0"/>
            <c:spPr>
              <a:solidFill>
                <a:srgbClr val="5b9bd5">
                  <a:alpha val="88000"/>
                </a:srgbClr>
              </a:solidFill>
              <a:ln>
                <a:solidFill>
                  <a:srgbClr val="1f4e79"/>
                </a:solidFill>
              </a:ln>
            </c:spPr>
          </c:dPt>
          <c:dLbls>
            <c:numFmt formatCode="0.0%" sourceLinked="1"/>
            <c:dLbl>
              <c:idx val="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5"/>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6"/>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7"/>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8"/>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9"/>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0"/>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11"/>
                <c:pt idx="0">
                  <c:v>Vocação profissional, gosto pela informática/tecnologia</c:v>
                </c:pt>
                <c:pt idx="1">
                  <c:v>Porque surgiu uma oportunidade de emprego</c:v>
                </c:pt>
                <c:pt idx="2">
                  <c:v>Porque o setor remunera bem</c:v>
                </c:pt>
                <c:pt idx="3">
                  <c:v>Tinha a ilusão de que ia remunerar bem</c:v>
                </c:pt>
                <c:pt idx="4">
                  <c:v>Porque o setor oferece oportunidade de se tornar empreendedor</c:v>
                </c:pt>
                <c:pt idx="5">
                  <c:v>Tradição familiar</c:v>
                </c:pt>
                <c:pt idx="6">
                  <c:v>Porque nesse setor se pode contribuir para melhorar o mundo</c:v>
                </c:pt>
                <c:pt idx="7">
                  <c:v>Oportunidade de crescimento profissional</c:v>
                </c:pt>
                <c:pt idx="8">
                  <c:v>Oportunidade de concurso</c:v>
                </c:pt>
                <c:pt idx="9">
                  <c:v>Nenhum em particular</c:v>
                </c:pt>
                <c:pt idx="10">
                  <c:v>Outro</c:v>
                </c:pt>
              </c:strCache>
            </c:strRef>
          </c:cat>
          <c:val>
            <c:numRef>
              <c:f>0</c:f>
              <c:numCache>
                <c:formatCode>General</c:formatCode>
                <c:ptCount val="11"/>
                <c:pt idx="0">
                  <c:v>0.619</c:v>
                </c:pt>
                <c:pt idx="1">
                  <c:v>0.29</c:v>
                </c:pt>
                <c:pt idx="2">
                  <c:v>0.031</c:v>
                </c:pt>
                <c:pt idx="3">
                  <c:v>0.002</c:v>
                </c:pt>
                <c:pt idx="4">
                  <c:v>0.02</c:v>
                </c:pt>
                <c:pt idx="5">
                  <c:v>0.002</c:v>
                </c:pt>
                <c:pt idx="6">
                  <c:v>0.01</c:v>
                </c:pt>
                <c:pt idx="7">
                  <c:v>0.005</c:v>
                </c:pt>
                <c:pt idx="8">
                  <c:v>0.002</c:v>
                </c:pt>
                <c:pt idx="9">
                  <c:v>0.002</c:v>
                </c:pt>
                <c:pt idx="10">
                  <c:v>0.018</c:v>
                </c:pt>
              </c:numCache>
            </c:numRef>
          </c:val>
        </c:ser>
        <c:gapWidth val="84"/>
        <c:shape val="box"/>
        <c:axId val="94342262"/>
        <c:axId val="31379"/>
        <c:axId val="0"/>
      </c:bar3DChart>
      <c:catAx>
        <c:axId val="94342262"/>
        <c:scaling>
          <c:orientation val="minMax"/>
        </c:scaling>
        <c:delete val="0"/>
        <c:axPos val="b"/>
        <c:numFmt formatCode="[$-416]DD/MM/YYYY" sourceLinked="1"/>
        <c:majorTickMark val="none"/>
        <c:minorTickMark val="none"/>
        <c:tickLblPos val="nextTo"/>
        <c:spPr>
          <a:ln w="6480">
            <a:noFill/>
          </a:ln>
        </c:spPr>
        <c:txPr>
          <a:bodyPr/>
          <a:lstStyle/>
          <a:p>
            <a:pPr>
              <a:defRPr b="0" sz="600" spc="-1" strike="noStrike">
                <a:solidFill>
                  <a:srgbClr val="bfbfbf"/>
                </a:solidFill>
                <a:latin typeface="Calibri"/>
              </a:defRPr>
            </a:pPr>
          </a:p>
        </c:txPr>
        <c:crossAx val="31379"/>
        <c:crosses val="autoZero"/>
        <c:auto val="1"/>
        <c:lblAlgn val="ctr"/>
        <c:lblOffset val="100"/>
      </c:catAx>
      <c:valAx>
        <c:axId val="31379"/>
        <c:scaling>
          <c:orientation val="minMax"/>
        </c:scaling>
        <c:delete val="1"/>
        <c:axPos val="l"/>
        <c:numFmt formatCode="0.0%"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94342262"/>
        <c:crosses val="autoZero"/>
      </c:valAx>
    </c:plotArea>
    <c:plotVisOnly val="1"/>
    <c:dispBlanksAs val="gap"/>
  </c:chart>
  <c:spPr>
    <a:solidFill>
      <a:srgbClr val="404040"/>
    </a:solidFill>
    <a:ln w="6480">
      <a:solidFill>
        <a:srgbClr val="8b8b8b"/>
      </a:solidFill>
      <a:round/>
    </a:ln>
  </c:spPr>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bar"/>
        <c:grouping val="clustered"/>
        <c:varyColors val="0"/>
        <c:ser>
          <c:idx val="0"/>
          <c:order val="0"/>
          <c:tx>
            <c:strRef>
              <c:f>label 0</c:f>
              <c:strCache>
                <c:ptCount val="1"/>
                <c:pt idx="0">
                  <c:v/>
                </c:pt>
              </c:strCache>
            </c:strRef>
          </c:tx>
          <c:spPr>
            <a:solidFill>
              <a:srgbClr val="5b9bd5">
                <a:alpha val="88000"/>
              </a:srgbClr>
            </a:solidFill>
            <a:ln>
              <a:solidFill>
                <a:srgbClr val="1f4e79"/>
              </a:solidFill>
            </a:ln>
          </c:spPr>
          <c:invertIfNegative val="0"/>
          <c:dPt>
            <c:idx val="0"/>
            <c:invertIfNegative val="0"/>
            <c:spPr>
              <a:solidFill>
                <a:srgbClr val="5b9bd5">
                  <a:alpha val="88000"/>
                </a:srgbClr>
              </a:solidFill>
              <a:ln>
                <a:solidFill>
                  <a:srgbClr val="1f4e79"/>
                </a:solidFill>
              </a:ln>
            </c:spPr>
          </c:dPt>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Pt>
            <c:idx val="5"/>
            <c:invertIfNegative val="0"/>
            <c:spPr>
              <a:solidFill>
                <a:srgbClr val="5b9bd5">
                  <a:alpha val="88000"/>
                </a:srgbClr>
              </a:solidFill>
              <a:ln>
                <a:solidFill>
                  <a:srgbClr val="1f4e79"/>
                </a:solidFill>
              </a:ln>
            </c:spPr>
          </c:dPt>
          <c:dPt>
            <c:idx val="6"/>
            <c:invertIfNegative val="0"/>
            <c:spPr>
              <a:solidFill>
                <a:srgbClr val="5b9bd5">
                  <a:alpha val="88000"/>
                </a:srgbClr>
              </a:solidFill>
              <a:ln>
                <a:solidFill>
                  <a:srgbClr val="1f4e79"/>
                </a:solidFill>
              </a:ln>
            </c:spPr>
          </c:dPt>
          <c:dPt>
            <c:idx val="7"/>
            <c:invertIfNegative val="0"/>
            <c:spPr>
              <a:solidFill>
                <a:srgbClr val="5b9bd5">
                  <a:alpha val="88000"/>
                </a:srgbClr>
              </a:solidFill>
              <a:ln>
                <a:solidFill>
                  <a:srgbClr val="1f4e79"/>
                </a:solidFill>
              </a:ln>
            </c:spPr>
          </c:dPt>
          <c:dPt>
            <c:idx val="8"/>
            <c:invertIfNegative val="0"/>
            <c:spPr>
              <a:solidFill>
                <a:srgbClr val="5b9bd5">
                  <a:alpha val="88000"/>
                </a:srgbClr>
              </a:solidFill>
              <a:ln>
                <a:solidFill>
                  <a:srgbClr val="1f4e79"/>
                </a:solidFill>
              </a:ln>
            </c:spPr>
          </c:dPt>
          <c:dPt>
            <c:idx val="9"/>
            <c:invertIfNegative val="0"/>
            <c:spPr>
              <a:solidFill>
                <a:srgbClr val="5b9bd5">
                  <a:alpha val="88000"/>
                </a:srgbClr>
              </a:solidFill>
              <a:ln>
                <a:solidFill>
                  <a:srgbClr val="1f4e79"/>
                </a:solidFill>
              </a:ln>
            </c:spPr>
          </c:dPt>
          <c:dPt>
            <c:idx val="10"/>
            <c:invertIfNegative val="0"/>
            <c:spPr>
              <a:solidFill>
                <a:srgbClr val="5b9bd5">
                  <a:alpha val="88000"/>
                </a:srgbClr>
              </a:solidFill>
              <a:ln>
                <a:solidFill>
                  <a:srgbClr val="1f4e79"/>
                </a:solidFill>
              </a:ln>
            </c:spPr>
          </c:dPt>
          <c:dPt>
            <c:idx val="11"/>
            <c:invertIfNegative val="0"/>
            <c:spPr>
              <a:solidFill>
                <a:srgbClr val="5b9bd5">
                  <a:alpha val="88000"/>
                </a:srgbClr>
              </a:solidFill>
              <a:ln>
                <a:solidFill>
                  <a:srgbClr val="1f4e79"/>
                </a:solidFill>
              </a:ln>
            </c:spPr>
          </c:dPt>
          <c:dLbls>
            <c:numFmt formatCode="0.0%" sourceLinked="1"/>
            <c:dLbl>
              <c:idx val="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5"/>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6"/>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7"/>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8"/>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9"/>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1"/>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12"/>
                <c:pt idx="0">
                  <c:v>Mais de 50h</c:v>
                </c:pt>
                <c:pt idx="1">
                  <c:v>50h</c:v>
                </c:pt>
                <c:pt idx="2">
                  <c:v>48h</c:v>
                </c:pt>
                <c:pt idx="3">
                  <c:v>46h</c:v>
                </c:pt>
                <c:pt idx="4">
                  <c:v>45h</c:v>
                </c:pt>
                <c:pt idx="5">
                  <c:v>44h</c:v>
                </c:pt>
                <c:pt idx="6">
                  <c:v>42h</c:v>
                </c:pt>
                <c:pt idx="7">
                  <c:v>40h</c:v>
                </c:pt>
                <c:pt idx="8">
                  <c:v>35h</c:v>
                </c:pt>
                <c:pt idx="9">
                  <c:v>30h</c:v>
                </c:pt>
                <c:pt idx="10">
                  <c:v>25h</c:v>
                </c:pt>
                <c:pt idx="11">
                  <c:v>20h</c:v>
                </c:pt>
              </c:strCache>
            </c:strRef>
          </c:cat>
          <c:val>
            <c:numRef>
              <c:f>0</c:f>
              <c:numCache>
                <c:formatCode>General</c:formatCode>
                <c:ptCount val="12"/>
                <c:pt idx="0">
                  <c:v>0.008</c:v>
                </c:pt>
                <c:pt idx="1">
                  <c:v>0.025</c:v>
                </c:pt>
                <c:pt idx="2">
                  <c:v>0.005</c:v>
                </c:pt>
                <c:pt idx="3">
                  <c:v>0.005</c:v>
                </c:pt>
                <c:pt idx="4">
                  <c:v>0.013</c:v>
                </c:pt>
                <c:pt idx="5">
                  <c:v>0.076</c:v>
                </c:pt>
                <c:pt idx="6">
                  <c:v>0.005</c:v>
                </c:pt>
                <c:pt idx="7">
                  <c:v>0.758</c:v>
                </c:pt>
                <c:pt idx="8">
                  <c:v>0.003</c:v>
                </c:pt>
                <c:pt idx="9">
                  <c:v>0.083</c:v>
                </c:pt>
                <c:pt idx="10">
                  <c:v>0.005</c:v>
                </c:pt>
                <c:pt idx="11">
                  <c:v>0.013</c:v>
                </c:pt>
              </c:numCache>
            </c:numRef>
          </c:val>
        </c:ser>
        <c:gapWidth val="84"/>
        <c:shape val="box"/>
        <c:axId val="72121452"/>
        <c:axId val="12888735"/>
        <c:axId val="0"/>
      </c:bar3DChart>
      <c:catAx>
        <c:axId val="72121452"/>
        <c:scaling>
          <c:orientation val="minMax"/>
        </c:scaling>
        <c:delete val="0"/>
        <c:axPos val="b"/>
        <c:numFmt formatCode="[$-416]DD/MM/YYYY" sourceLinked="1"/>
        <c:majorTickMark val="none"/>
        <c:minorTickMark val="none"/>
        <c:tickLblPos val="nextTo"/>
        <c:spPr>
          <a:ln w="6480">
            <a:noFill/>
          </a:ln>
        </c:spPr>
        <c:txPr>
          <a:bodyPr/>
          <a:lstStyle/>
          <a:p>
            <a:pPr>
              <a:defRPr b="0" sz="900" spc="-1" strike="noStrike">
                <a:solidFill>
                  <a:srgbClr val="bfbfbf"/>
                </a:solidFill>
                <a:latin typeface="Calibri"/>
              </a:defRPr>
            </a:pPr>
          </a:p>
        </c:txPr>
        <c:crossAx val="12888735"/>
        <c:crosses val="autoZero"/>
        <c:auto val="1"/>
        <c:lblAlgn val="ctr"/>
        <c:lblOffset val="100"/>
      </c:catAx>
      <c:valAx>
        <c:axId val="12888735"/>
        <c:scaling>
          <c:orientation val="minMax"/>
        </c:scaling>
        <c:delete val="1"/>
        <c:axPos val="l"/>
        <c:numFmt formatCode="0.0%"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72121452"/>
        <c:crosses val="autoZero"/>
      </c:valAx>
    </c:plotArea>
    <c:plotVisOnly val="1"/>
    <c:dispBlanksAs val="gap"/>
  </c:chart>
  <c:spPr>
    <a:solidFill>
      <a:srgbClr val="404040"/>
    </a:solidFill>
    <a:ln w="6480">
      <a:solidFill>
        <a:srgbClr val="8b8b8b"/>
      </a:solidFill>
      <a:round/>
    </a:ln>
  </c:spPr>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layout>
        <c:manualLayout>
          <c:layoutTarget val="inner"/>
          <c:xMode val="edge"/>
          <c:yMode val="edge"/>
          <c:x val="0.0343125"/>
          <c:y val="0.073"/>
          <c:w val="0.56025"/>
          <c:h val="0.866222222222222"/>
        </c:manualLayout>
      </c:layout>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3"/>
                <c:pt idx="0">
                  <c:v>Contrato permanente com jornada integral</c:v>
                </c:pt>
                <c:pt idx="1">
                  <c:v>Contrato permanente com jornada parcial</c:v>
                </c:pt>
                <c:pt idx="2">
                  <c:v>Contrato temporário ou por prazo determinado</c:v>
                </c:pt>
              </c:strCache>
            </c:strRef>
          </c:cat>
          <c:val>
            <c:numRef>
              <c:f>0</c:f>
              <c:numCache>
                <c:formatCode>General</c:formatCode>
                <c:ptCount val="3"/>
                <c:pt idx="0">
                  <c:v>0.927</c:v>
                </c:pt>
                <c:pt idx="1">
                  <c:v>0.065</c:v>
                </c:pt>
                <c:pt idx="2">
                  <c:v>0.008</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13.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Salário fixo</c:v>
                </c:pt>
                <c:pt idx="1">
                  <c:v>Proporcional por produto/meta</c:v>
                </c:pt>
                <c:pt idx="2">
                  <c:v>Misto, com menor parte fixa e maior parte proporcional</c:v>
                </c:pt>
                <c:pt idx="3">
                  <c:v>Misto, com maior parte fixa e menor parte proporcional</c:v>
                </c:pt>
              </c:strCache>
            </c:strRef>
          </c:cat>
          <c:val>
            <c:numRef>
              <c:f>0</c:f>
              <c:numCache>
                <c:formatCode>General</c:formatCode>
                <c:ptCount val="4"/>
                <c:pt idx="0">
                  <c:v>0.977</c:v>
                </c:pt>
                <c:pt idx="1">
                  <c:v>0.005</c:v>
                </c:pt>
                <c:pt idx="2">
                  <c:v>0.002</c:v>
                </c:pt>
                <c:pt idx="3">
                  <c:v>0.017</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1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404040"/>
                </a:solidFill>
                <a:latin typeface="Calibri"/>
              </a:defRPr>
            </a:pPr>
            <a:r>
              <a:rPr b="1" sz="1000" spc="-1" strike="noStrike">
                <a:solidFill>
                  <a:srgbClr val="404040"/>
                </a:solidFill>
                <a:latin typeface="Calibri"/>
              </a:rPr>
              <a:t>Stress</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2"/>
                <c:pt idx="0">
                  <c:v>Sim</c:v>
                </c:pt>
                <c:pt idx="1">
                  <c:v>Não</c:v>
                </c:pt>
              </c:strCache>
            </c:strRef>
          </c:cat>
          <c:val>
            <c:numRef>
              <c:f>0</c:f>
              <c:numCache>
                <c:formatCode>General</c:formatCode>
                <c:ptCount val="2"/>
                <c:pt idx="0">
                  <c:v>0.199</c:v>
                </c:pt>
                <c:pt idx="1">
                  <c:v>0.801</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1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404040"/>
                </a:solidFill>
                <a:latin typeface="Calibri"/>
              </a:defRPr>
            </a:pPr>
            <a:r>
              <a:rPr b="1" sz="1000" spc="-1" strike="noStrike">
                <a:solidFill>
                  <a:srgbClr val="404040"/>
                </a:solidFill>
                <a:latin typeface="Calibri"/>
              </a:rPr>
              <a:t>Lesões por esforços repetitivos</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layout>
        <c:manualLayout>
          <c:layoutTarget val="inner"/>
          <c:xMode val="edge"/>
          <c:yMode val="edge"/>
          <c:x val="0.0305625"/>
          <c:y val="0.215444444444444"/>
          <c:w val="0.7731875"/>
          <c:h val="0.738222222222222"/>
        </c:manualLayout>
      </c:layout>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2"/>
                <c:pt idx="0">
                  <c:v>Sim</c:v>
                </c:pt>
                <c:pt idx="1">
                  <c:v>Não</c:v>
                </c:pt>
              </c:strCache>
            </c:strRef>
          </c:cat>
          <c:val>
            <c:numRef>
              <c:f>0</c:f>
              <c:numCache>
                <c:formatCode>General</c:formatCode>
                <c:ptCount val="2"/>
                <c:pt idx="0">
                  <c:v>0.253</c:v>
                </c:pt>
                <c:pt idx="1">
                  <c:v>0.747</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1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404040"/>
                </a:solidFill>
                <a:latin typeface="Calibri"/>
              </a:defRPr>
            </a:pPr>
            <a:r>
              <a:rPr b="1" sz="1000" spc="-1" strike="noStrike">
                <a:solidFill>
                  <a:srgbClr val="404040"/>
                </a:solidFill>
                <a:latin typeface="Calibri"/>
              </a:rPr>
              <a:t>Problemas de coluna</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2"/>
                <c:pt idx="0">
                  <c:v>Sim</c:v>
                </c:pt>
                <c:pt idx="1">
                  <c:v>Não</c:v>
                </c:pt>
              </c:strCache>
            </c:strRef>
          </c:cat>
          <c:val>
            <c:numRef>
              <c:f>0</c:f>
              <c:numCache>
                <c:formatCode>General</c:formatCode>
                <c:ptCount val="2"/>
                <c:pt idx="0">
                  <c:v>0.015</c:v>
                </c:pt>
                <c:pt idx="1">
                  <c:v>0.985</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1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404040"/>
                </a:solidFill>
                <a:latin typeface="Calibri"/>
              </a:defRPr>
            </a:pPr>
            <a:r>
              <a:rPr b="1" sz="1000" spc="-1" strike="noStrike">
                <a:solidFill>
                  <a:srgbClr val="404040"/>
                </a:solidFill>
                <a:latin typeface="Calibri"/>
              </a:rPr>
              <a:t>Dores de cabeça</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2"/>
                <c:pt idx="0">
                  <c:v>Sim</c:v>
                </c:pt>
                <c:pt idx="1">
                  <c:v>Não</c:v>
                </c:pt>
              </c:strCache>
            </c:strRef>
          </c:cat>
          <c:val>
            <c:numRef>
              <c:f>0</c:f>
              <c:numCache>
                <c:formatCode>General</c:formatCode>
                <c:ptCount val="2"/>
                <c:pt idx="0">
                  <c:v>0.073</c:v>
                </c:pt>
                <c:pt idx="1">
                  <c:v>0.927</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18.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404040"/>
                </a:solidFill>
                <a:latin typeface="Calibri"/>
              </a:defRPr>
            </a:pPr>
            <a:r>
              <a:rPr b="1" sz="1000" spc="-1" strike="noStrike">
                <a:solidFill>
                  <a:srgbClr val="404040"/>
                </a:solidFill>
                <a:latin typeface="Calibri"/>
              </a:rPr>
              <a:t>Acidentes de trabalho</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2"/>
                <c:pt idx="0">
                  <c:v>Sim</c:v>
                </c:pt>
                <c:pt idx="1">
                  <c:v>Não</c:v>
                </c:pt>
              </c:strCache>
            </c:strRef>
          </c:cat>
          <c:val>
            <c:numRef>
              <c:f>0</c:f>
              <c:numCache>
                <c:formatCode>General</c:formatCode>
                <c:ptCount val="2"/>
                <c:pt idx="0">
                  <c:v>0.017</c:v>
                </c:pt>
                <c:pt idx="1">
                  <c:v>0.983</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1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404040"/>
                </a:solidFill>
                <a:latin typeface="Calibri"/>
              </a:defRPr>
            </a:pPr>
            <a:r>
              <a:rPr b="1" sz="1000" spc="-1" strike="noStrike">
                <a:solidFill>
                  <a:srgbClr val="404040"/>
                </a:solidFill>
                <a:latin typeface="Calibri"/>
              </a:rPr>
              <a:t>Pelo menos um problema de saúde foi citado</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layout>
        <c:manualLayout>
          <c:layoutTarget val="inner"/>
          <c:xMode val="edge"/>
          <c:yMode val="edge"/>
          <c:x val="0"/>
          <c:y val="0.201888888888889"/>
          <c:w val="0.8863125"/>
          <c:h val="0.778222222222222"/>
        </c:manualLayout>
      </c:layout>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2"/>
                <c:pt idx="0">
                  <c:v>Sim</c:v>
                </c:pt>
                <c:pt idx="1">
                  <c:v>Não</c:v>
                </c:pt>
              </c:strCache>
            </c:strRef>
          </c:cat>
          <c:val>
            <c:numRef>
              <c:f>0</c:f>
              <c:numCache>
                <c:formatCode>General</c:formatCode>
                <c:ptCount val="2"/>
                <c:pt idx="0">
                  <c:v>0.472</c:v>
                </c:pt>
                <c:pt idx="1">
                  <c:v>0.528</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6480">
          <a:noFill/>
        </a:ln>
      </c:spPr>
    </c:floor>
    <c:sideWall>
      <c:spPr>
        <a:noFill/>
        <a:ln w="6480">
          <a:noFill/>
        </a:ln>
      </c:spPr>
    </c:sideWall>
    <c:backWall>
      <c:spPr>
        <a:noFill/>
        <a:ln w="6480">
          <a:noFill/>
        </a:ln>
      </c:spPr>
    </c:backWall>
    <c:plotArea>
      <c:bar3DChart>
        <c:barDir val="col"/>
        <c:grouping val="clustered"/>
        <c:varyColors val="0"/>
        <c:ser>
          <c:idx val="0"/>
          <c:order val="0"/>
          <c:tx>
            <c:strRef>
              <c:f>label 0</c:f>
              <c:strCache>
                <c:ptCount val="1"/>
                <c:pt idx="0">
                  <c:v>Masculino</c:v>
                </c:pt>
              </c:strCache>
            </c:strRef>
          </c:tx>
          <c:spPr>
            <a:solidFill>
              <a:srgbClr val="5b9bd5"/>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strRef>
              <c:f>categories</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0</c:f>
              <c:numCache>
                <c:formatCode>General</c:formatCode>
                <c:ptCount val="11"/>
                <c:pt idx="0">
                  <c:v>63.8</c:v>
                </c:pt>
                <c:pt idx="1">
                  <c:v>64.6</c:v>
                </c:pt>
                <c:pt idx="2">
                  <c:v>65</c:v>
                </c:pt>
                <c:pt idx="3">
                  <c:v>66.2</c:v>
                </c:pt>
                <c:pt idx="4">
                  <c:v>66.5</c:v>
                </c:pt>
                <c:pt idx="5">
                  <c:v>66.1</c:v>
                </c:pt>
                <c:pt idx="6">
                  <c:v>65.8</c:v>
                </c:pt>
                <c:pt idx="7">
                  <c:v>67.7</c:v>
                </c:pt>
                <c:pt idx="8">
                  <c:v>67.3</c:v>
                </c:pt>
                <c:pt idx="9">
                  <c:v>67.7</c:v>
                </c:pt>
                <c:pt idx="10">
                  <c:v>69</c:v>
                </c:pt>
              </c:numCache>
            </c:numRef>
          </c:val>
        </c:ser>
        <c:ser>
          <c:idx val="1"/>
          <c:order val="1"/>
          <c:tx>
            <c:strRef>
              <c:f>label 1</c:f>
              <c:strCache>
                <c:ptCount val="1"/>
                <c:pt idx="0">
                  <c:v>Feminino</c:v>
                </c:pt>
              </c:strCache>
            </c:strRef>
          </c:tx>
          <c:spPr>
            <a:solidFill>
              <a:srgbClr val="ed7d31"/>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strRef>
              <c:f>categories</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1</c:f>
              <c:numCache>
                <c:formatCode>General</c:formatCode>
                <c:ptCount val="11"/>
                <c:pt idx="0">
                  <c:v>36.2</c:v>
                </c:pt>
                <c:pt idx="1">
                  <c:v>35.4</c:v>
                </c:pt>
                <c:pt idx="2">
                  <c:v>35</c:v>
                </c:pt>
                <c:pt idx="3">
                  <c:v>33.8</c:v>
                </c:pt>
                <c:pt idx="4">
                  <c:v>33.5</c:v>
                </c:pt>
                <c:pt idx="5">
                  <c:v>34.9</c:v>
                </c:pt>
                <c:pt idx="6">
                  <c:v>34.2</c:v>
                </c:pt>
                <c:pt idx="7">
                  <c:v>32.3</c:v>
                </c:pt>
                <c:pt idx="8">
                  <c:v>32.7</c:v>
                </c:pt>
                <c:pt idx="9">
                  <c:v>32.3</c:v>
                </c:pt>
                <c:pt idx="10">
                  <c:v>31</c:v>
                </c:pt>
              </c:numCache>
            </c:numRef>
          </c:val>
        </c:ser>
        <c:gapWidth val="150"/>
        <c:shape val="box"/>
        <c:axId val="76967012"/>
        <c:axId val="98272072"/>
        <c:axId val="0"/>
      </c:bar3DChart>
      <c:catAx>
        <c:axId val="76967012"/>
        <c:scaling>
          <c:orientation val="minMax"/>
        </c:scaling>
        <c:delete val="0"/>
        <c:axPos val="b"/>
        <c:numFmt formatCode="[$-416]DD/MM/YYYY" sourceLinked="1"/>
        <c:majorTickMark val="none"/>
        <c:minorTickMark val="none"/>
        <c:tickLblPos val="nextTo"/>
        <c:spPr>
          <a:ln w="6480">
            <a:noFill/>
          </a:ln>
        </c:spPr>
        <c:txPr>
          <a:bodyPr/>
          <a:lstStyle/>
          <a:p>
            <a:pPr>
              <a:defRPr b="0" sz="900" spc="-1" strike="noStrike">
                <a:solidFill>
                  <a:srgbClr val="595959"/>
                </a:solidFill>
                <a:latin typeface="Calibri"/>
              </a:defRPr>
            </a:pPr>
          </a:p>
        </c:txPr>
        <c:crossAx val="98272072"/>
        <c:crosses val="autoZero"/>
        <c:auto val="1"/>
        <c:lblAlgn val="ctr"/>
        <c:lblOffset val="100"/>
      </c:catAx>
      <c:valAx>
        <c:axId val="9827207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76967012"/>
        <c:crosses val="autoZero"/>
      </c:valAx>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0.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3"/>
                <c:pt idx="0">
                  <c:v>Sim</c:v>
                </c:pt>
                <c:pt idx="1">
                  <c:v>Não</c:v>
                </c:pt>
                <c:pt idx="2">
                  <c:v>Não admitiu ter ou ter tido problema de saúde</c:v>
                </c:pt>
              </c:strCache>
            </c:strRef>
          </c:cat>
          <c:val>
            <c:numRef>
              <c:f>0</c:f>
              <c:numCache>
                <c:formatCode>General</c:formatCode>
                <c:ptCount val="3"/>
                <c:pt idx="0">
                  <c:v>0.323</c:v>
                </c:pt>
                <c:pt idx="1">
                  <c:v>0.151</c:v>
                </c:pt>
                <c:pt idx="2">
                  <c:v>0.526</c:v>
                </c:pt>
              </c:numCache>
            </c:numRef>
          </c:val>
        </c:ser>
      </c:pie3DChart>
    </c:plotArea>
    <c:legend>
      <c:legendPos val="r"/>
      <c:overlay val="0"/>
      <c:spPr>
        <a:solidFill>
          <a:srgbClr val="f2f2f2">
            <a:alpha val="39000"/>
          </a:srgbClr>
        </a:solidFill>
        <a:ln>
          <a:noFill/>
        </a:ln>
      </c:spPr>
      <c:txPr>
        <a:bodyPr/>
        <a:lstStyle/>
        <a:p>
          <a:pPr>
            <a:defRPr b="0" sz="7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21.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layout>
        <c:manualLayout>
          <c:layoutTarget val="inner"/>
          <c:xMode val="edge"/>
          <c:yMode val="edge"/>
          <c:x val="0.0305625"/>
          <c:y val="0.0416666666666667"/>
          <c:w val="0.5875"/>
          <c:h val="0.898111111111111"/>
        </c:manualLayout>
      </c:layout>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Pt>
            <c:idx val="4"/>
            <c:spPr>
              <a:solidFill>
                <a:srgbClr val="4472c4"/>
              </a:solidFill>
              <a:ln>
                <a:noFill/>
              </a:ln>
            </c:spPr>
          </c:dPt>
          <c:dPt>
            <c:idx val="5"/>
            <c:spPr>
              <a:solidFill>
                <a:srgbClr val="70ad47"/>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4"/>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5"/>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6"/>
                <c:pt idx="0">
                  <c:v>Até R$ 988,19 (menor piso negociado para 2017)</c:v>
                </c:pt>
                <c:pt idx="1">
                  <c:v>De R$ 988,20 a 2.089,97 (maior piso negociado para 2017)</c:v>
                </c:pt>
                <c:pt idx="2">
                  <c:v>De R$ 2.089,98 a 5.000,99</c:v>
                </c:pt>
                <c:pt idx="3">
                  <c:v>De R$ 5.001,00 a R$ 8.000,99</c:v>
                </c:pt>
                <c:pt idx="4">
                  <c:v>Acima de R$ 8.000,99</c:v>
                </c:pt>
                <c:pt idx="5">
                  <c:v>Não respondeu</c:v>
                </c:pt>
              </c:strCache>
            </c:strRef>
          </c:cat>
          <c:val>
            <c:numRef>
              <c:f>0</c:f>
              <c:numCache>
                <c:formatCode>General</c:formatCode>
                <c:ptCount val="6"/>
                <c:pt idx="0">
                  <c:v>0.04</c:v>
                </c:pt>
                <c:pt idx="1">
                  <c:v>0.281</c:v>
                </c:pt>
                <c:pt idx="2">
                  <c:v>0.425</c:v>
                </c:pt>
                <c:pt idx="3">
                  <c:v>0.172</c:v>
                </c:pt>
                <c:pt idx="4">
                  <c:v>0.066</c:v>
                </c:pt>
                <c:pt idx="5">
                  <c:v>0.015</c:v>
                </c:pt>
              </c:numCache>
            </c:numRef>
          </c:val>
        </c:ser>
      </c:pie3DChart>
    </c:plotArea>
    <c:legend>
      <c:legendPos val="r"/>
      <c:overlay val="0"/>
      <c:spPr>
        <a:solidFill>
          <a:srgbClr val="f2f2f2">
            <a:alpha val="39000"/>
          </a:srgbClr>
        </a:solidFill>
        <a:ln>
          <a:noFill/>
        </a:ln>
      </c:spPr>
      <c:txPr>
        <a:bodyPr/>
        <a:lstStyle/>
        <a:p>
          <a:pPr>
            <a:defRPr b="0" sz="7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22.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bar"/>
        <c:grouping val="clustered"/>
        <c:varyColors val="0"/>
        <c:ser>
          <c:idx val="0"/>
          <c:order val="0"/>
          <c:tx>
            <c:strRef>
              <c:f>label 0</c:f>
              <c:strCache>
                <c:ptCount val="1"/>
                <c:pt idx="0">
                  <c:v/>
                </c:pt>
              </c:strCache>
            </c:strRef>
          </c:tx>
          <c:spPr>
            <a:solidFill>
              <a:srgbClr val="5b9bd5">
                <a:alpha val="88000"/>
              </a:srgbClr>
            </a:solidFill>
            <a:ln>
              <a:solidFill>
                <a:srgbClr val="1f4e79"/>
              </a:solidFill>
            </a:ln>
          </c:spPr>
          <c:invertIfNegative val="0"/>
          <c:dPt>
            <c:idx val="0"/>
            <c:invertIfNegative val="0"/>
            <c:spPr>
              <a:solidFill>
                <a:srgbClr val="5b9bd5">
                  <a:alpha val="88000"/>
                </a:srgbClr>
              </a:solidFill>
              <a:ln>
                <a:solidFill>
                  <a:srgbClr val="1f4e79"/>
                </a:solidFill>
              </a:ln>
            </c:spPr>
          </c:dPt>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Pt>
            <c:idx val="5"/>
            <c:invertIfNegative val="0"/>
            <c:spPr>
              <a:solidFill>
                <a:srgbClr val="5b9bd5">
                  <a:alpha val="88000"/>
                </a:srgbClr>
              </a:solidFill>
              <a:ln>
                <a:solidFill>
                  <a:srgbClr val="1f4e79"/>
                </a:solidFill>
              </a:ln>
            </c:spPr>
          </c:dPt>
          <c:dPt>
            <c:idx val="6"/>
            <c:invertIfNegative val="0"/>
            <c:spPr>
              <a:solidFill>
                <a:srgbClr val="5b9bd5">
                  <a:alpha val="88000"/>
                </a:srgbClr>
              </a:solidFill>
              <a:ln>
                <a:solidFill>
                  <a:srgbClr val="1f4e79"/>
                </a:solidFill>
              </a:ln>
            </c:spPr>
          </c:dPt>
          <c:dPt>
            <c:idx val="7"/>
            <c:invertIfNegative val="0"/>
            <c:spPr>
              <a:solidFill>
                <a:srgbClr val="5b9bd5">
                  <a:alpha val="88000"/>
                </a:srgbClr>
              </a:solidFill>
              <a:ln>
                <a:solidFill>
                  <a:srgbClr val="1f4e79"/>
                </a:solidFill>
              </a:ln>
            </c:spPr>
          </c:dPt>
          <c:dPt>
            <c:idx val="8"/>
            <c:invertIfNegative val="0"/>
            <c:spPr>
              <a:solidFill>
                <a:srgbClr val="5b9bd5">
                  <a:alpha val="88000"/>
                </a:srgbClr>
              </a:solidFill>
              <a:ln>
                <a:solidFill>
                  <a:srgbClr val="1f4e79"/>
                </a:solidFill>
              </a:ln>
            </c:spPr>
          </c:dPt>
          <c:dPt>
            <c:idx val="9"/>
            <c:invertIfNegative val="0"/>
            <c:spPr>
              <a:solidFill>
                <a:srgbClr val="5b9bd5">
                  <a:alpha val="88000"/>
                </a:srgbClr>
              </a:solidFill>
              <a:ln>
                <a:solidFill>
                  <a:srgbClr val="1f4e79"/>
                </a:solidFill>
              </a:ln>
            </c:spPr>
          </c:dPt>
          <c:dPt>
            <c:idx val="10"/>
            <c:invertIfNegative val="0"/>
            <c:spPr>
              <a:solidFill>
                <a:srgbClr val="5b9bd5">
                  <a:alpha val="88000"/>
                </a:srgbClr>
              </a:solidFill>
              <a:ln>
                <a:solidFill>
                  <a:srgbClr val="1f4e79"/>
                </a:solidFill>
              </a:ln>
            </c:spPr>
          </c:dPt>
          <c:dPt>
            <c:idx val="11"/>
            <c:invertIfNegative val="0"/>
            <c:spPr>
              <a:solidFill>
                <a:srgbClr val="5b9bd5">
                  <a:alpha val="88000"/>
                </a:srgbClr>
              </a:solidFill>
              <a:ln>
                <a:solidFill>
                  <a:srgbClr val="1f4e79"/>
                </a:solidFill>
              </a:ln>
            </c:spPr>
          </c:dPt>
          <c:dPt>
            <c:idx val="12"/>
            <c:invertIfNegative val="0"/>
            <c:spPr>
              <a:solidFill>
                <a:srgbClr val="5b9bd5">
                  <a:alpha val="88000"/>
                </a:srgbClr>
              </a:solidFill>
              <a:ln>
                <a:solidFill>
                  <a:srgbClr val="1f4e79"/>
                </a:solidFill>
              </a:ln>
            </c:spPr>
          </c:dPt>
          <c:dLbls>
            <c:numFmt formatCode="0.0%" sourceLinked="1"/>
            <c:dLbl>
              <c:idx val="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5"/>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6"/>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7"/>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8"/>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9"/>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2"/>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13"/>
                <c:pt idx="0">
                  <c:v>Tempo e condições de deslocamento de casa ao trabalho e vice-versa</c:v>
                </c:pt>
                <c:pt idx="1">
                  <c:v>Stress do dia-a-dia (muita pressão)</c:v>
                </c:pt>
                <c:pt idx="2">
                  <c:v>Baixos salários</c:v>
                </c:pt>
                <c:pt idx="3">
                  <c:v>Baixo incentivo para o trabalho</c:v>
                </c:pt>
                <c:pt idx="4">
                  <c:v>Excesso de trabalho</c:v>
                </c:pt>
                <c:pt idx="5">
                  <c:v>Conflitos de relacionamento com colegas</c:v>
                </c:pt>
                <c:pt idx="6">
                  <c:v>Assédio moral das chefias</c:v>
                </c:pt>
                <c:pt idx="7">
                  <c:v>Dificuldade de conciliar estudo e trabalho</c:v>
                </c:pt>
                <c:pt idx="8">
                  <c:v>Discriminação de gênero</c:v>
                </c:pt>
                <c:pt idx="9">
                  <c:v>Falta de flexibilidade no horário de trabalho</c:v>
                </c:pt>
                <c:pt idx="10">
                  <c:v>Perda de direitos</c:v>
                </c:pt>
                <c:pt idx="11">
                  <c:v>Problemas com a gestão</c:v>
                </c:pt>
                <c:pt idx="12">
                  <c:v>Nenhum problema</c:v>
                </c:pt>
              </c:strCache>
            </c:strRef>
          </c:cat>
          <c:val>
            <c:numRef>
              <c:f>0</c:f>
              <c:numCache>
                <c:formatCode>General</c:formatCode>
                <c:ptCount val="13"/>
                <c:pt idx="0">
                  <c:v>0.487</c:v>
                </c:pt>
                <c:pt idx="1">
                  <c:v>0.113</c:v>
                </c:pt>
                <c:pt idx="2">
                  <c:v>0.126</c:v>
                </c:pt>
                <c:pt idx="3">
                  <c:v>0.05</c:v>
                </c:pt>
                <c:pt idx="4">
                  <c:v>0.017</c:v>
                </c:pt>
                <c:pt idx="5">
                  <c:v>0.015</c:v>
                </c:pt>
                <c:pt idx="6">
                  <c:v>0.007</c:v>
                </c:pt>
                <c:pt idx="7">
                  <c:v>0.002</c:v>
                </c:pt>
                <c:pt idx="8">
                  <c:v>0.003</c:v>
                </c:pt>
                <c:pt idx="9">
                  <c:v>0.002</c:v>
                </c:pt>
                <c:pt idx="10">
                  <c:v>0.012</c:v>
                </c:pt>
                <c:pt idx="11">
                  <c:v>0.002</c:v>
                </c:pt>
                <c:pt idx="12">
                  <c:v>0.167</c:v>
                </c:pt>
              </c:numCache>
            </c:numRef>
          </c:val>
        </c:ser>
        <c:gapWidth val="84"/>
        <c:shape val="box"/>
        <c:axId val="43992245"/>
        <c:axId val="29153642"/>
        <c:axId val="0"/>
      </c:bar3DChart>
      <c:catAx>
        <c:axId val="43992245"/>
        <c:scaling>
          <c:orientation val="minMax"/>
        </c:scaling>
        <c:delete val="0"/>
        <c:axPos val="b"/>
        <c:numFmt formatCode="[$-416]DD/MM/YYYY" sourceLinked="1"/>
        <c:majorTickMark val="none"/>
        <c:minorTickMark val="none"/>
        <c:tickLblPos val="nextTo"/>
        <c:spPr>
          <a:ln w="6480">
            <a:noFill/>
          </a:ln>
        </c:spPr>
        <c:txPr>
          <a:bodyPr/>
          <a:lstStyle/>
          <a:p>
            <a:pPr>
              <a:defRPr b="0" sz="600" spc="-1" strike="noStrike">
                <a:solidFill>
                  <a:srgbClr val="bfbfbf"/>
                </a:solidFill>
                <a:latin typeface="Calibri"/>
              </a:defRPr>
            </a:pPr>
          </a:p>
        </c:txPr>
        <c:crossAx val="29153642"/>
        <c:crosses val="autoZero"/>
        <c:auto val="1"/>
        <c:lblAlgn val="ctr"/>
        <c:lblOffset val="100"/>
      </c:catAx>
      <c:valAx>
        <c:axId val="29153642"/>
        <c:scaling>
          <c:orientation val="minMax"/>
        </c:scaling>
        <c:delete val="1"/>
        <c:axPos val="l"/>
        <c:numFmt formatCode="0.0%"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43992245"/>
        <c:crosses val="autoZero"/>
      </c:valAx>
    </c:plotArea>
    <c:plotVisOnly val="1"/>
    <c:dispBlanksAs val="gap"/>
  </c:chart>
  <c:spPr>
    <a:solidFill>
      <a:srgbClr val="404040"/>
    </a:solidFill>
    <a:ln w="6480">
      <a:solidFill>
        <a:srgbClr val="8b8b8b"/>
      </a:solidFill>
      <a:round/>
    </a:ln>
  </c:spPr>
</c:chartSpace>
</file>

<file path=word/charts/chart23.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bar"/>
        <c:grouping val="clustered"/>
        <c:varyColors val="0"/>
        <c:ser>
          <c:idx val="0"/>
          <c:order val="0"/>
          <c:tx>
            <c:strRef>
              <c:f>label 0</c:f>
              <c:strCache>
                <c:ptCount val="1"/>
                <c:pt idx="0">
                  <c:v/>
                </c:pt>
              </c:strCache>
            </c:strRef>
          </c:tx>
          <c:spPr>
            <a:solidFill>
              <a:srgbClr val="5b9bd5">
                <a:alpha val="88000"/>
              </a:srgbClr>
            </a:solidFill>
            <a:ln>
              <a:solidFill>
                <a:srgbClr val="1f4e79"/>
              </a:solidFill>
            </a:ln>
          </c:spPr>
          <c:invertIfNegative val="0"/>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Pt>
            <c:idx val="5"/>
            <c:invertIfNegative val="0"/>
            <c:spPr>
              <a:solidFill>
                <a:srgbClr val="5b9bd5">
                  <a:alpha val="88000"/>
                </a:srgbClr>
              </a:solidFill>
              <a:ln>
                <a:solidFill>
                  <a:srgbClr val="1f4e79"/>
                </a:solidFill>
              </a:ln>
            </c:spPr>
          </c:dPt>
          <c:dPt>
            <c:idx val="6"/>
            <c:invertIfNegative val="0"/>
            <c:spPr>
              <a:solidFill>
                <a:srgbClr val="5b9bd5">
                  <a:alpha val="88000"/>
                </a:srgbClr>
              </a:solidFill>
              <a:ln>
                <a:solidFill>
                  <a:srgbClr val="1f4e79"/>
                </a:solidFill>
              </a:ln>
            </c:spPr>
          </c:dPt>
          <c:dPt>
            <c:idx val="7"/>
            <c:invertIfNegative val="0"/>
            <c:spPr>
              <a:solidFill>
                <a:srgbClr val="5b9bd5">
                  <a:alpha val="88000"/>
                </a:srgbClr>
              </a:solidFill>
              <a:ln>
                <a:solidFill>
                  <a:srgbClr val="1f4e79"/>
                </a:solidFill>
              </a:ln>
            </c:spPr>
          </c:dPt>
          <c:dPt>
            <c:idx val="8"/>
            <c:invertIfNegative val="0"/>
            <c:spPr>
              <a:solidFill>
                <a:srgbClr val="5b9bd5">
                  <a:alpha val="88000"/>
                </a:srgbClr>
              </a:solidFill>
              <a:ln>
                <a:solidFill>
                  <a:srgbClr val="1f4e79"/>
                </a:solidFill>
              </a:ln>
            </c:spPr>
          </c:dPt>
          <c:dPt>
            <c:idx val="9"/>
            <c:invertIfNegative val="0"/>
            <c:spPr>
              <a:solidFill>
                <a:srgbClr val="5b9bd5">
                  <a:alpha val="88000"/>
                </a:srgbClr>
              </a:solidFill>
              <a:ln>
                <a:solidFill>
                  <a:srgbClr val="1f4e79"/>
                </a:solidFill>
              </a:ln>
            </c:spPr>
          </c:dPt>
          <c:dPt>
            <c:idx val="10"/>
            <c:invertIfNegative val="0"/>
            <c:spPr>
              <a:solidFill>
                <a:srgbClr val="5b9bd5">
                  <a:alpha val="88000"/>
                </a:srgbClr>
              </a:solidFill>
              <a:ln>
                <a:solidFill>
                  <a:srgbClr val="1f4e79"/>
                </a:solidFill>
              </a:ln>
            </c:spPr>
          </c:dPt>
          <c:dPt>
            <c:idx val="11"/>
            <c:invertIfNegative val="0"/>
            <c:spPr>
              <a:solidFill>
                <a:srgbClr val="5b9bd5">
                  <a:alpha val="88000"/>
                </a:srgbClr>
              </a:solidFill>
              <a:ln>
                <a:solidFill>
                  <a:srgbClr val="1f4e79"/>
                </a:solidFill>
              </a:ln>
            </c:spPr>
          </c:dPt>
          <c:dPt>
            <c:idx val="12"/>
            <c:invertIfNegative val="0"/>
            <c:spPr>
              <a:solidFill>
                <a:srgbClr val="5b9bd5">
                  <a:alpha val="88000"/>
                </a:srgbClr>
              </a:solidFill>
              <a:ln>
                <a:solidFill>
                  <a:srgbClr val="1f4e79"/>
                </a:solidFill>
              </a:ln>
            </c:spPr>
          </c:dPt>
          <c:dPt>
            <c:idx val="13"/>
            <c:invertIfNegative val="0"/>
            <c:spPr>
              <a:solidFill>
                <a:srgbClr val="5b9bd5">
                  <a:alpha val="88000"/>
                </a:srgbClr>
              </a:solidFill>
              <a:ln>
                <a:solidFill>
                  <a:srgbClr val="1f4e79"/>
                </a:solidFill>
              </a:ln>
            </c:spPr>
          </c:dPt>
          <c:dPt>
            <c:idx val="14"/>
            <c:invertIfNegative val="0"/>
            <c:spPr>
              <a:solidFill>
                <a:srgbClr val="5b9bd5">
                  <a:alpha val="88000"/>
                </a:srgbClr>
              </a:solidFill>
              <a:ln>
                <a:solidFill>
                  <a:srgbClr val="1f4e79"/>
                </a:solidFill>
              </a:ln>
            </c:spPr>
          </c:dPt>
          <c:dPt>
            <c:idx val="15"/>
            <c:invertIfNegative val="0"/>
            <c:spPr>
              <a:solidFill>
                <a:srgbClr val="5b9bd5">
                  <a:alpha val="88000"/>
                </a:srgbClr>
              </a:solidFill>
              <a:ln>
                <a:solidFill>
                  <a:srgbClr val="1f4e79"/>
                </a:solidFill>
              </a:ln>
            </c:spPr>
          </c:dPt>
          <c:dLbls>
            <c:numFmt formatCode="0.0%" sourceLinked="1"/>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5"/>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6"/>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7"/>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8"/>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9"/>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4"/>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5"/>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16"/>
                <c:pt idx="0">
                  <c:v>Crescer neste ou em outro emprego</c:v>
                </c:pt>
                <c:pt idx="1">
                  <c:v>Tornar-se dono do seu próprio negócio</c:v>
                </c:pt>
                <c:pt idx="2">
                  <c:v>Passar em um concurso público</c:v>
                </c:pt>
                <c:pt idx="3">
                  <c:v>Buscar melhoras longe de Pernambuco</c:v>
                </c:pt>
                <c:pt idx="4">
                  <c:v>Contribuir para ganhos coletivos no setor onde trabalha</c:v>
                </c:pt>
                <c:pt idx="5">
                  <c:v>Sair do ramo de TI</c:v>
                </c:pt>
                <c:pt idx="6">
                  <c:v>Aposentadoria</c:v>
                </c:pt>
                <c:pt idx="7">
                  <c:v>Pós-Graduação</c:v>
                </c:pt>
                <c:pt idx="8">
                  <c:v>Aguardar mudanças políticas com relação à TI</c:v>
                </c:pt>
                <c:pt idx="9">
                  <c:v>Emigrar</c:v>
                </c:pt>
                <c:pt idx="10">
                  <c:v>Emigrar para outro país</c:v>
                </c:pt>
                <c:pt idx="11">
                  <c:v>Filantropia</c:v>
                </c:pt>
                <c:pt idx="12">
                  <c:v>Home Office</c:v>
                </c:pt>
                <c:pt idx="13">
                  <c:v>Valorizar a família</c:v>
                </c:pt>
                <c:pt idx="14">
                  <c:v>Reduzir carga horária de trabalho</c:v>
                </c:pt>
                <c:pt idx="15">
                  <c:v>Não tenho planos</c:v>
                </c:pt>
              </c:strCache>
            </c:strRef>
          </c:cat>
          <c:val>
            <c:numRef>
              <c:f>0</c:f>
              <c:numCache>
                <c:formatCode>General</c:formatCode>
                <c:ptCount val="16"/>
                <c:pt idx="0">
                  <c:v>0.45</c:v>
                </c:pt>
                <c:pt idx="1">
                  <c:v>0.22</c:v>
                </c:pt>
                <c:pt idx="2">
                  <c:v>0.129</c:v>
                </c:pt>
                <c:pt idx="3">
                  <c:v>0.076</c:v>
                </c:pt>
                <c:pt idx="4">
                  <c:v>0.055</c:v>
                </c:pt>
                <c:pt idx="5">
                  <c:v>0.023</c:v>
                </c:pt>
                <c:pt idx="6">
                  <c:v>0.025</c:v>
                </c:pt>
                <c:pt idx="7">
                  <c:v>0.005</c:v>
                </c:pt>
                <c:pt idx="8">
                  <c:v>0.002</c:v>
                </c:pt>
                <c:pt idx="9">
                  <c:v>0.002</c:v>
                </c:pt>
                <c:pt idx="10">
                  <c:v>0.002</c:v>
                </c:pt>
                <c:pt idx="11">
                  <c:v>0.002</c:v>
                </c:pt>
                <c:pt idx="12">
                  <c:v>0.002</c:v>
                </c:pt>
                <c:pt idx="13">
                  <c:v>0.002</c:v>
                </c:pt>
                <c:pt idx="14">
                  <c:v>0.002</c:v>
                </c:pt>
                <c:pt idx="15">
                  <c:v>0.005</c:v>
                </c:pt>
              </c:numCache>
            </c:numRef>
          </c:val>
        </c:ser>
        <c:gapWidth val="84"/>
        <c:shape val="box"/>
        <c:axId val="39778914"/>
        <c:axId val="6057032"/>
        <c:axId val="0"/>
      </c:bar3DChart>
      <c:catAx>
        <c:axId val="39778914"/>
        <c:scaling>
          <c:orientation val="minMax"/>
        </c:scaling>
        <c:delete val="0"/>
        <c:axPos val="b"/>
        <c:numFmt formatCode="[$-416]DD/MM/YYYY" sourceLinked="1"/>
        <c:majorTickMark val="none"/>
        <c:minorTickMark val="none"/>
        <c:tickLblPos val="nextTo"/>
        <c:spPr>
          <a:ln w="6480">
            <a:noFill/>
          </a:ln>
        </c:spPr>
        <c:txPr>
          <a:bodyPr/>
          <a:lstStyle/>
          <a:p>
            <a:pPr>
              <a:defRPr b="0" sz="800" spc="-1" strike="noStrike">
                <a:solidFill>
                  <a:srgbClr val="bfbfbf"/>
                </a:solidFill>
                <a:latin typeface="Calibri"/>
              </a:defRPr>
            </a:pPr>
          </a:p>
        </c:txPr>
        <c:crossAx val="6057032"/>
        <c:crosses val="autoZero"/>
        <c:auto val="1"/>
        <c:lblAlgn val="ctr"/>
        <c:lblOffset val="100"/>
      </c:catAx>
      <c:valAx>
        <c:axId val="6057032"/>
        <c:scaling>
          <c:orientation val="minMax"/>
        </c:scaling>
        <c:delete val="1"/>
        <c:axPos val="l"/>
        <c:numFmt formatCode="0.0%"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39778914"/>
        <c:crosses val="autoZero"/>
      </c:valAx>
    </c:plotArea>
    <c:plotVisOnly val="1"/>
    <c:dispBlanksAs val="gap"/>
  </c:chart>
  <c:spPr>
    <a:solidFill>
      <a:srgbClr val="404040"/>
    </a:solidFill>
    <a:ln w="6480">
      <a:solidFill>
        <a:srgbClr val="8b8b8b"/>
      </a:solidFill>
      <a:round/>
    </a:ln>
  </c:spPr>
</c:chartSpace>
</file>

<file path=word/charts/chart24.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Pt>
            <c:idx val="4"/>
            <c:spPr>
              <a:solidFill>
                <a:srgbClr val="4472c4"/>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4"/>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5"/>
                <c:pt idx="0">
                  <c:v>Provedor/a principal</c:v>
                </c:pt>
                <c:pt idx="1">
                  <c:v>Compartilha igualmente com outro/a a condição de provedor/a</c:v>
                </c:pt>
                <c:pt idx="2">
                  <c:v>É dependente, mas contribui com o orçamento da casa</c:v>
                </c:pt>
                <c:pt idx="3">
                  <c:v>Dependente, sem contribuir com o orçamento da casa</c:v>
                </c:pt>
                <c:pt idx="4">
                  <c:v>Outra situação</c:v>
                </c:pt>
              </c:strCache>
            </c:strRef>
          </c:cat>
          <c:val>
            <c:numRef>
              <c:f>0</c:f>
              <c:numCache>
                <c:formatCode>General</c:formatCode>
                <c:ptCount val="5"/>
                <c:pt idx="0">
                  <c:v>0.387</c:v>
                </c:pt>
                <c:pt idx="1">
                  <c:v>0.377</c:v>
                </c:pt>
                <c:pt idx="2">
                  <c:v>0.172</c:v>
                </c:pt>
                <c:pt idx="3">
                  <c:v>0.043</c:v>
                </c:pt>
                <c:pt idx="4">
                  <c:v>0.02</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25.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9"/>
          <c:dPt>
            <c:idx val="0"/>
            <c:explosion val="9"/>
            <c:spPr>
              <a:solidFill>
                <a:srgbClr val="5b9bd5"/>
              </a:solidFill>
              <a:ln>
                <a:noFill/>
              </a:ln>
            </c:spPr>
          </c:dPt>
          <c:dPt>
            <c:idx val="1"/>
            <c:explosion val="9"/>
            <c:spPr>
              <a:solidFill>
                <a:srgbClr val="ed7d31"/>
              </a:solidFill>
              <a:ln>
                <a:noFill/>
              </a:ln>
            </c:spPr>
          </c:dPt>
          <c:dPt>
            <c:idx val="2"/>
            <c:explosion val="9"/>
            <c:spPr>
              <a:solidFill>
                <a:srgbClr val="a5a5a5"/>
              </a:solidFill>
              <a:ln>
                <a:noFill/>
              </a:ln>
            </c:spPr>
          </c:dPt>
          <c:dPt>
            <c:idx val="3"/>
            <c:explosion val="9"/>
            <c:spPr>
              <a:solidFill>
                <a:srgbClr val="ffc000"/>
              </a:solidFill>
              <a:ln>
                <a:noFill/>
              </a:ln>
            </c:spPr>
          </c:dPt>
          <c:dPt>
            <c:idx val="4"/>
            <c:explosion val="9"/>
            <c:spPr>
              <a:solidFill>
                <a:srgbClr val="4472c4"/>
              </a:solidFill>
              <a:ln>
                <a:noFill/>
              </a:ln>
            </c:spPr>
          </c:dPt>
          <c:dPt>
            <c:idx val="5"/>
            <c:explosion val="9"/>
            <c:spPr>
              <a:solidFill>
                <a:srgbClr val="70ad47"/>
              </a:solidFill>
              <a:ln>
                <a:noFill/>
              </a:ln>
            </c:spPr>
          </c:dPt>
          <c:dPt>
            <c:idx val="6"/>
            <c:explosion val="9"/>
            <c:spPr>
              <a:solidFill>
                <a:srgbClr val="255e91"/>
              </a:solidFill>
              <a:ln>
                <a:noFill/>
              </a:ln>
            </c:spPr>
          </c:dPt>
          <c:dPt>
            <c:idx val="7"/>
            <c:explosion val="9"/>
            <c:spPr>
              <a:solidFill>
                <a:srgbClr val="9e480e"/>
              </a:solidFill>
              <a:ln>
                <a:noFill/>
              </a:ln>
            </c:spPr>
          </c:dPt>
          <c:dPt>
            <c:idx val="8"/>
            <c:explosion val="9"/>
            <c:spPr>
              <a:solidFill>
                <a:srgbClr val="636363"/>
              </a:solidFill>
              <a:ln>
                <a:noFill/>
              </a:ln>
            </c:spPr>
          </c:dPt>
          <c:dPt>
            <c:idx val="9"/>
            <c:explosion val="9"/>
            <c:spPr>
              <a:solidFill>
                <a:srgbClr val="997300"/>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4"/>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5"/>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6"/>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7"/>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8"/>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9"/>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10"/>
                <c:pt idx="0">
                  <c:v>Ser honesto</c:v>
                </c:pt>
                <c:pt idx="1">
                  <c:v>Ser determinado</c:v>
                </c:pt>
                <c:pt idx="2">
                  <c:v>Respeitar a autoridade</c:v>
                </c:pt>
                <c:pt idx="3">
                  <c:v>Ter fé</c:v>
                </c:pt>
                <c:pt idx="4">
                  <c:v>Ser solidário</c:v>
                </c:pt>
                <c:pt idx="5">
                  <c:v>Ter autonomia</c:v>
                </c:pt>
                <c:pt idx="6">
                  <c:v>Ser livre</c:v>
                </c:pt>
                <c:pt idx="7">
                  <c:v>Ser focado nos próprios interesses</c:v>
                </c:pt>
                <c:pt idx="8">
                  <c:v>Ser esperto</c:v>
                </c:pt>
                <c:pt idx="9">
                  <c:v>Outro</c:v>
                </c:pt>
              </c:strCache>
            </c:strRef>
          </c:cat>
          <c:val>
            <c:numRef>
              <c:f>0</c:f>
              <c:numCache>
                <c:formatCode>General</c:formatCode>
                <c:ptCount val="10"/>
                <c:pt idx="0">
                  <c:v>0.391</c:v>
                </c:pt>
                <c:pt idx="1">
                  <c:v>0.13</c:v>
                </c:pt>
                <c:pt idx="2">
                  <c:v>0.128</c:v>
                </c:pt>
                <c:pt idx="3">
                  <c:v>0.119</c:v>
                </c:pt>
                <c:pt idx="4">
                  <c:v>0.081</c:v>
                </c:pt>
                <c:pt idx="5">
                  <c:v>0.076</c:v>
                </c:pt>
                <c:pt idx="6">
                  <c:v>0.04</c:v>
                </c:pt>
                <c:pt idx="7">
                  <c:v>0.017</c:v>
                </c:pt>
                <c:pt idx="8">
                  <c:v>0.011</c:v>
                </c:pt>
                <c:pt idx="9">
                  <c:v>0.007</c:v>
                </c:pt>
              </c:numCache>
            </c:numRef>
          </c:val>
        </c:ser>
      </c:pie3DChart>
    </c:plotArea>
    <c:legend>
      <c:legendPos val="r"/>
      <c:overlay val="0"/>
      <c:spPr>
        <a:solidFill>
          <a:srgbClr val="f2f2f2">
            <a:alpha val="39000"/>
          </a:srgbClr>
        </a:solidFill>
        <a:ln>
          <a:noFill/>
        </a:ln>
      </c:spPr>
      <c:txPr>
        <a:bodyPr/>
        <a:lstStyle/>
        <a:p>
          <a:pPr>
            <a:defRPr b="0" sz="7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26.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Pt>
            <c:idx val="4"/>
            <c:spPr>
              <a:solidFill>
                <a:srgbClr val="4472c4"/>
              </a:solidFill>
              <a:ln>
                <a:noFill/>
              </a:ln>
            </c:spPr>
          </c:dPt>
          <c:dPt>
            <c:idx val="5"/>
            <c:spPr>
              <a:solidFill>
                <a:srgbClr val="70ad47"/>
              </a:solidFill>
              <a:ln>
                <a:noFill/>
              </a:ln>
            </c:spPr>
          </c:dPt>
          <c:dPt>
            <c:idx val="6"/>
            <c:spPr>
              <a:solidFill>
                <a:srgbClr val="255e91"/>
              </a:solidFill>
              <a:ln>
                <a:noFill/>
              </a:ln>
            </c:spPr>
          </c:dPt>
          <c:dPt>
            <c:idx val="7"/>
            <c:spPr>
              <a:solidFill>
                <a:srgbClr val="9e480e"/>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4"/>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5"/>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6"/>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7"/>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8"/>
                <c:pt idx="0">
                  <c:v>Na família</c:v>
                </c:pt>
                <c:pt idx="1">
                  <c:v>Na escola</c:v>
                </c:pt>
                <c:pt idx="2">
                  <c:v>Na religião</c:v>
                </c:pt>
                <c:pt idx="3">
                  <c:v>No trabalho</c:v>
                </c:pt>
                <c:pt idx="4">
                  <c:v>Nos amigos</c:v>
                </c:pt>
                <c:pt idx="5">
                  <c:v>Na vida mundana</c:v>
                </c:pt>
                <c:pt idx="6">
                  <c:v>Nas leis</c:v>
                </c:pt>
                <c:pt idx="7">
                  <c:v>Outra</c:v>
                </c:pt>
              </c:strCache>
            </c:strRef>
          </c:cat>
          <c:val>
            <c:numRef>
              <c:f>0</c:f>
              <c:numCache>
                <c:formatCode>General</c:formatCode>
                <c:ptCount val="8"/>
                <c:pt idx="0">
                  <c:v>0.795</c:v>
                </c:pt>
                <c:pt idx="1">
                  <c:v>0.123</c:v>
                </c:pt>
                <c:pt idx="2">
                  <c:v>0.055</c:v>
                </c:pt>
                <c:pt idx="3">
                  <c:v>0.013</c:v>
                </c:pt>
                <c:pt idx="4">
                  <c:v>0.008</c:v>
                </c:pt>
                <c:pt idx="5">
                  <c:v>0.002</c:v>
                </c:pt>
                <c:pt idx="6">
                  <c:v>0.002</c:v>
                </c:pt>
                <c:pt idx="7">
                  <c:v>0.003</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27.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Lbls>
            <c:numFmt formatCode="General"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3"/>
                <c:pt idx="0">
                  <c:v>Sempre estudou em instituições públicas</c:v>
                </c:pt>
                <c:pt idx="1">
                  <c:v>Sempre estudou em instituições particulares</c:v>
                </c:pt>
                <c:pt idx="2">
                  <c:v>Estudou em escolas públicas e privadas</c:v>
                </c:pt>
              </c:strCache>
            </c:strRef>
          </c:cat>
          <c:val>
            <c:numRef>
              <c:f>0</c:f>
              <c:numCache>
                <c:formatCode>General</c:formatCode>
                <c:ptCount val="3"/>
                <c:pt idx="0">
                  <c:v>20</c:v>
                </c:pt>
                <c:pt idx="1">
                  <c:v>34.9</c:v>
                </c:pt>
                <c:pt idx="2">
                  <c:v>45.1</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28.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2"/>
          <c:dPt>
            <c:idx val="0"/>
            <c:explosion val="2"/>
            <c:spPr>
              <a:solidFill>
                <a:srgbClr val="5b9bd5"/>
              </a:solidFill>
              <a:ln>
                <a:noFill/>
              </a:ln>
            </c:spPr>
          </c:dPt>
          <c:dPt>
            <c:idx val="1"/>
            <c:explosion val="2"/>
            <c:spPr>
              <a:solidFill>
                <a:srgbClr val="ed7d31"/>
              </a:solidFill>
              <a:ln>
                <a:noFill/>
              </a:ln>
            </c:spPr>
          </c:dPt>
          <c:dPt>
            <c:idx val="2"/>
            <c:explosion val="2"/>
            <c:spPr>
              <a:solidFill>
                <a:srgbClr val="a5a5a5"/>
              </a:solidFill>
              <a:ln>
                <a:noFill/>
              </a:ln>
            </c:spPr>
          </c:dPt>
          <c:dPt>
            <c:idx val="3"/>
            <c:explosion val="2"/>
            <c:spPr>
              <a:solidFill>
                <a:srgbClr val="ffc000"/>
              </a:solidFill>
              <a:ln>
                <a:noFill/>
              </a:ln>
            </c:spPr>
          </c:dPt>
          <c:dPt>
            <c:idx val="4"/>
            <c:explosion val="2"/>
            <c:spPr>
              <a:solidFill>
                <a:srgbClr val="4472c4"/>
              </a:solidFill>
              <a:ln>
                <a:noFill/>
              </a:ln>
            </c:spPr>
          </c:dPt>
          <c:dPt>
            <c:idx val="5"/>
            <c:explosion val="2"/>
            <c:spPr>
              <a:solidFill>
                <a:srgbClr val="70ad47"/>
              </a:solidFill>
              <a:ln>
                <a:noFill/>
              </a:ln>
            </c:spPr>
          </c:dPt>
          <c:dPt>
            <c:idx val="6"/>
            <c:explosion val="2"/>
            <c:spPr>
              <a:solidFill>
                <a:srgbClr val="255e91"/>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4"/>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5"/>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6"/>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7"/>
                <c:pt idx="0">
                  <c:v>Da família de origem</c:v>
                </c:pt>
                <c:pt idx="1">
                  <c:v>Do trabalho</c:v>
                </c:pt>
                <c:pt idx="2">
                  <c:v>De amigos</c:v>
                </c:pt>
                <c:pt idx="3">
                  <c:v>Do cônjuge/namorado/a</c:v>
                </c:pt>
                <c:pt idx="4">
                  <c:v>Do próprio ambiente escolar</c:v>
                </c:pt>
                <c:pt idx="5">
                  <c:v>Da religião</c:v>
                </c:pt>
                <c:pt idx="6">
                  <c:v>Outra</c:v>
                </c:pt>
              </c:strCache>
            </c:strRef>
          </c:cat>
          <c:val>
            <c:numRef>
              <c:f>0</c:f>
              <c:numCache>
                <c:formatCode>General</c:formatCode>
                <c:ptCount val="7"/>
                <c:pt idx="0">
                  <c:v>0.821</c:v>
                </c:pt>
                <c:pt idx="1">
                  <c:v>0.038</c:v>
                </c:pt>
                <c:pt idx="2">
                  <c:v>0.025</c:v>
                </c:pt>
                <c:pt idx="3">
                  <c:v>0.01</c:v>
                </c:pt>
                <c:pt idx="4">
                  <c:v>0.023</c:v>
                </c:pt>
                <c:pt idx="5">
                  <c:v>0.003</c:v>
                </c:pt>
                <c:pt idx="6">
                  <c:v>0.079</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29.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Durante ou ao término do ensino médio/técnico</c:v>
                </c:pt>
                <c:pt idx="1">
                  <c:v>Durante o ensino superior</c:v>
                </c:pt>
                <c:pt idx="2">
                  <c:v>Durante ou ao término do ensino fundamental</c:v>
                </c:pt>
                <c:pt idx="3">
                  <c:v>Após ser graduado/a</c:v>
                </c:pt>
              </c:strCache>
            </c:strRef>
          </c:cat>
          <c:val>
            <c:numRef>
              <c:f>0</c:f>
              <c:numCache>
                <c:formatCode>General</c:formatCode>
                <c:ptCount val="4"/>
                <c:pt idx="0">
                  <c:v>0.444</c:v>
                </c:pt>
                <c:pt idx="1">
                  <c:v>0.419</c:v>
                </c:pt>
                <c:pt idx="2">
                  <c:v>0.096</c:v>
                </c:pt>
                <c:pt idx="3">
                  <c:v>0.041</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col"/>
        <c:grouping val="clustered"/>
        <c:varyColors val="0"/>
        <c:ser>
          <c:idx val="0"/>
          <c:order val="0"/>
          <c:tx>
            <c:strRef>
              <c:f>label 0</c:f>
              <c:strCache>
                <c:ptCount val="1"/>
                <c:pt idx="0">
                  <c:v>Mais de 3,00 SM</c:v>
                </c:pt>
              </c:strCache>
            </c:strRef>
          </c:tx>
          <c:spPr>
            <a:solidFill>
              <a:srgbClr val="5b9bd5">
                <a:alpha val="88000"/>
              </a:srgbClr>
            </a:solidFill>
            <a:ln>
              <a:solidFill>
                <a:srgbClr val="1f4e79"/>
              </a:solidFill>
            </a:ln>
          </c:spPr>
          <c:invertIfNegative val="0"/>
          <c:dLbls>
            <c:numFmt formatCode="General" sourceLinked="1"/>
            <c:txPr>
              <a:bodyPr/>
              <a:lstStyle/>
              <a:p>
                <a:pPr>
                  <a:defRPr b="1" sz="9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0</c:f>
              <c:numCache>
                <c:formatCode>General</c:formatCode>
                <c:ptCount val="11"/>
                <c:pt idx="0">
                  <c:v>50.8</c:v>
                </c:pt>
                <c:pt idx="1">
                  <c:v>50.7</c:v>
                </c:pt>
                <c:pt idx="2">
                  <c:v>50.2</c:v>
                </c:pt>
                <c:pt idx="3">
                  <c:v>54.2</c:v>
                </c:pt>
                <c:pt idx="4">
                  <c:v>55.3</c:v>
                </c:pt>
                <c:pt idx="5">
                  <c:v>51.8</c:v>
                </c:pt>
                <c:pt idx="6">
                  <c:v>50.1</c:v>
                </c:pt>
                <c:pt idx="7">
                  <c:v>54.6</c:v>
                </c:pt>
                <c:pt idx="8">
                  <c:v>52.1</c:v>
                </c:pt>
                <c:pt idx="9">
                  <c:v>49.4</c:v>
                </c:pt>
                <c:pt idx="10">
                  <c:v>51.4</c:v>
                </c:pt>
              </c:numCache>
            </c:numRef>
          </c:val>
        </c:ser>
        <c:gapWidth val="84"/>
        <c:shape val="box"/>
        <c:axId val="20420167"/>
        <c:axId val="30905176"/>
        <c:axId val="0"/>
      </c:bar3DChart>
      <c:catAx>
        <c:axId val="20420167"/>
        <c:scaling>
          <c:orientation val="minMax"/>
        </c:scaling>
        <c:delete val="0"/>
        <c:axPos val="b"/>
        <c:numFmt formatCode="[$-416]DD/MM/YYYY" sourceLinked="1"/>
        <c:majorTickMark val="none"/>
        <c:minorTickMark val="none"/>
        <c:tickLblPos val="nextTo"/>
        <c:spPr>
          <a:ln w="6480">
            <a:noFill/>
          </a:ln>
        </c:spPr>
        <c:txPr>
          <a:bodyPr/>
          <a:lstStyle/>
          <a:p>
            <a:pPr>
              <a:defRPr b="0" sz="900" spc="-1" strike="noStrike">
                <a:solidFill>
                  <a:srgbClr val="bfbfbf"/>
                </a:solidFill>
                <a:latin typeface="Calibri"/>
              </a:defRPr>
            </a:pPr>
          </a:p>
        </c:txPr>
        <c:crossAx val="30905176"/>
        <c:crosses val="autoZero"/>
        <c:auto val="1"/>
        <c:lblAlgn val="ctr"/>
        <c:lblOffset val="100"/>
      </c:catAx>
      <c:valAx>
        <c:axId val="30905176"/>
        <c:scaling>
          <c:orientation val="minMax"/>
        </c:scaling>
        <c:delete val="1"/>
        <c:axPos val="l"/>
        <c:numFmt formatCode="General"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20420167"/>
        <c:crosses val="autoZero"/>
      </c:valAx>
    </c:plotArea>
    <c:plotVisOnly val="1"/>
    <c:dispBlanksAs val="gap"/>
  </c:chart>
  <c:spPr>
    <a:solidFill>
      <a:srgbClr val="404040"/>
    </a:solidFill>
    <a:ln w="6480">
      <a:solidFill>
        <a:srgbClr val="8b8b8b"/>
      </a:solidFill>
      <a:round/>
    </a:ln>
  </c:spPr>
</c:chartSpace>
</file>

<file path=word/charts/chart30.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6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layout>
        <c:manualLayout>
          <c:layoutTarget val="inner"/>
          <c:xMode val="edge"/>
          <c:yMode val="edge"/>
          <c:x val="0.0374375"/>
          <c:y val="0.0374444444444444"/>
          <c:w val="0.8535625"/>
          <c:h val="0.578666666666667"/>
        </c:manualLayout>
      </c:layout>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900" spc="-1" strike="noStrike">
                      <a:solidFill>
                        <a:srgbClr val="ffffff"/>
                      </a:solidFill>
                      <a:latin typeface="Calibri"/>
                    </a:defRPr>
                  </a:pPr>
                </a:p>
              </c:txPr>
              <c:dLblPos val="inEnd"/>
              <c:showLegendKey val="0"/>
              <c:showVal val="0"/>
              <c:showCatName val="0"/>
              <c:showSerName val="0"/>
              <c:showPercent val="1"/>
              <c:separator>
</c:separator>
            </c:dLbl>
            <c:dLbl>
              <c:idx val="1"/>
              <c:txPr>
                <a:bodyPr/>
                <a:lstStyle/>
                <a:p>
                  <a:pPr>
                    <a:defRPr b="1" sz="900" spc="-1" strike="noStrike">
                      <a:solidFill>
                        <a:srgbClr val="ffffff"/>
                      </a:solidFill>
                      <a:latin typeface="Calibri"/>
                    </a:defRPr>
                  </a:pPr>
                </a:p>
              </c:txPr>
              <c:dLblPos val="inEnd"/>
              <c:showLegendKey val="0"/>
              <c:showVal val="0"/>
              <c:showCatName val="0"/>
              <c:showSerName val="0"/>
              <c:showPercent val="1"/>
              <c:separator>
</c:separator>
            </c:dLbl>
            <c:dLbl>
              <c:idx val="2"/>
              <c:txPr>
                <a:bodyPr/>
                <a:lstStyle/>
                <a:p>
                  <a:pPr>
                    <a:defRPr b="1" sz="900" spc="-1" strike="noStrike">
                      <a:solidFill>
                        <a:srgbClr val="ffffff"/>
                      </a:solidFill>
                      <a:latin typeface="Calibri"/>
                    </a:defRPr>
                  </a:pPr>
                </a:p>
              </c:txPr>
              <c:dLblPos val="inEnd"/>
              <c:showLegendKey val="0"/>
              <c:showVal val="0"/>
              <c:showCatName val="0"/>
              <c:showSerName val="0"/>
              <c:showPercent val="1"/>
              <c:separator>
</c:separator>
            </c:dLbl>
            <c:dLbl>
              <c:idx val="3"/>
              <c:txPr>
                <a:bodyPr/>
                <a:lstStyle/>
                <a:p>
                  <a:pPr>
                    <a:defRPr b="1" sz="900" spc="-1" strike="noStrike">
                      <a:solidFill>
                        <a:srgbClr val="ffffff"/>
                      </a:solidFill>
                      <a:latin typeface="Calibri"/>
                    </a:defRPr>
                  </a:pPr>
                </a:p>
              </c:txPr>
              <c:dLblPos val="inEnd"/>
              <c:showLegendKey val="0"/>
              <c:showVal val="0"/>
              <c:showCatName val="0"/>
              <c:showSerName val="0"/>
              <c:showPercent val="1"/>
              <c:separator>
</c:separator>
            </c:dLbl>
            <c:txPr>
              <a:bodyPr/>
              <a:lstStyle/>
              <a:p>
                <a:pPr>
                  <a:defRPr b="1" sz="900" spc="-1" strike="noStrike">
                    <a:solidFill>
                      <a:srgbClr val="ffffff"/>
                    </a:solidFill>
                    <a:latin typeface="Calibri"/>
                  </a:defRPr>
                </a:pPr>
              </a:p>
            </c:txPr>
            <c:dLblPos val="inEnd"/>
            <c:showLegendKey val="0"/>
            <c:showVal val="0"/>
            <c:showCatName val="0"/>
            <c:showSerName val="0"/>
            <c:showPercent val="1"/>
            <c:separator>
</c:separator>
            <c:showLeaderLines val="0"/>
          </c:dLbls>
          <c:cat>
            <c:strRef>
              <c:f>categories</c:f>
              <c:strCache>
                <c:ptCount val="4"/>
                <c:pt idx="0">
                  <c:v>Continuou os estudos</c:v>
                </c:pt>
                <c:pt idx="1">
                  <c:v>Saiu da escola e retomou os estudos depois</c:v>
                </c:pt>
                <c:pt idx="2">
                  <c:v>Saiu da escola e nunca mais voltou a estudar</c:v>
                </c:pt>
                <c:pt idx="3">
                  <c:v>Saiu da escola, mas fez ou tem feito cursos profissionalizantes desvinculados da formação escolar</c:v>
                </c:pt>
              </c:strCache>
            </c:strRef>
          </c:cat>
          <c:val>
            <c:numRef>
              <c:f>0</c:f>
              <c:numCache>
                <c:formatCode>General</c:formatCode>
                <c:ptCount val="4"/>
                <c:pt idx="0">
                  <c:v>0.848</c:v>
                </c:pt>
                <c:pt idx="1">
                  <c:v>0.076</c:v>
                </c:pt>
                <c:pt idx="2">
                  <c:v>0.053</c:v>
                </c:pt>
                <c:pt idx="3">
                  <c:v>0.023</c:v>
                </c:pt>
              </c:numCache>
            </c:numRef>
          </c:val>
        </c:ser>
      </c:pie3DChart>
    </c:plotArea>
    <c:legend>
      <c:layout>
        <c:manualLayout>
          <c:xMode val="edge"/>
          <c:yMode val="edge"/>
          <c:x val="0.1015625"/>
          <c:y val="0.636777777777778"/>
          <c:w val="0.796862303893993"/>
          <c:h val="0.341371263473719"/>
        </c:manualLayout>
      </c:layout>
      <c:spPr>
        <a:solidFill>
          <a:srgbClr val="ffffff">
            <a:alpha val="78000"/>
          </a:srgbClr>
        </a:solidFill>
        <a:ln>
          <a:noFill/>
        </a:ln>
      </c:spPr>
      <c:txPr>
        <a:bodyPr/>
        <a:lstStyle/>
        <a:p>
          <a:pPr>
            <a:defRPr b="0" sz="700" spc="-1" strike="noStrike">
              <a:solidFill>
                <a:srgbClr val="595959"/>
              </a:solidFill>
              <a:latin typeface="Calibri"/>
            </a:defRPr>
          </a:pPr>
        </a:p>
      </c:txPr>
    </c:legend>
    <c:plotVisOnly val="1"/>
    <c:dispBlanksAs val="gap"/>
  </c:chart>
  <c:spPr>
    <a:pattFill prst="ltDnDiag">
      <a:fgClr>
        <a:srgbClr val="f2f2f2"/>
      </a:fgClr>
      <a:bgClr>
        <a:srgbClr val="ffffff"/>
      </a:bgClr>
    </a:pattFill>
    <a:ln w="9360">
      <a:solidFill>
        <a:srgbClr val="d9d9d9"/>
      </a:solidFill>
      <a:round/>
    </a:ln>
  </c:spPr>
</c:chartSpace>
</file>

<file path=word/charts/chart31.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bar"/>
        <c:grouping val="clustered"/>
        <c:varyColors val="0"/>
        <c:ser>
          <c:idx val="0"/>
          <c:order val="0"/>
          <c:tx>
            <c:strRef>
              <c:f>label 0</c:f>
              <c:strCache>
                <c:ptCount val="1"/>
                <c:pt idx="0">
                  <c:v/>
                </c:pt>
              </c:strCache>
            </c:strRef>
          </c:tx>
          <c:spPr>
            <a:solidFill>
              <a:srgbClr val="5b9bd5">
                <a:alpha val="88000"/>
              </a:srgbClr>
            </a:solidFill>
            <a:ln>
              <a:solidFill>
                <a:srgbClr val="1f4e79"/>
              </a:solidFill>
            </a:ln>
          </c:spPr>
          <c:invertIfNegative val="0"/>
          <c:dPt>
            <c:idx val="0"/>
            <c:invertIfNegative val="0"/>
            <c:spPr>
              <a:solidFill>
                <a:srgbClr val="5b9bd5">
                  <a:alpha val="88000"/>
                </a:srgbClr>
              </a:solidFill>
              <a:ln>
                <a:solidFill>
                  <a:srgbClr val="1f4e79"/>
                </a:solidFill>
              </a:ln>
            </c:spPr>
          </c:dPt>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Pt>
            <c:idx val="5"/>
            <c:invertIfNegative val="0"/>
            <c:spPr>
              <a:solidFill>
                <a:srgbClr val="5b9bd5">
                  <a:alpha val="88000"/>
                </a:srgbClr>
              </a:solidFill>
              <a:ln>
                <a:solidFill>
                  <a:srgbClr val="1f4e79"/>
                </a:solidFill>
              </a:ln>
            </c:spPr>
          </c:dPt>
          <c:dPt>
            <c:idx val="6"/>
            <c:invertIfNegative val="0"/>
            <c:spPr>
              <a:solidFill>
                <a:srgbClr val="5b9bd5">
                  <a:alpha val="88000"/>
                </a:srgbClr>
              </a:solidFill>
              <a:ln>
                <a:solidFill>
                  <a:srgbClr val="1f4e79"/>
                </a:solidFill>
              </a:ln>
            </c:spPr>
          </c:dPt>
          <c:dPt>
            <c:idx val="7"/>
            <c:invertIfNegative val="0"/>
            <c:spPr>
              <a:solidFill>
                <a:srgbClr val="5b9bd5">
                  <a:alpha val="88000"/>
                </a:srgbClr>
              </a:solidFill>
              <a:ln>
                <a:solidFill>
                  <a:srgbClr val="1f4e79"/>
                </a:solidFill>
              </a:ln>
            </c:spPr>
          </c:dPt>
          <c:dPt>
            <c:idx val="8"/>
            <c:invertIfNegative val="0"/>
            <c:spPr>
              <a:solidFill>
                <a:srgbClr val="5b9bd5">
                  <a:alpha val="88000"/>
                </a:srgbClr>
              </a:solidFill>
              <a:ln>
                <a:solidFill>
                  <a:srgbClr val="1f4e79"/>
                </a:solidFill>
              </a:ln>
            </c:spPr>
          </c:dPt>
          <c:dLbls>
            <c:numFmt formatCode="0.0%" sourceLinked="1"/>
            <c:dLbl>
              <c:idx val="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5"/>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6"/>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7"/>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8"/>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9"/>
                <c:pt idx="0">
                  <c:v>Não tem formação em TI</c:v>
                </c:pt>
                <c:pt idx="1">
                  <c:v>Curso Profissionalizante</c:v>
                </c:pt>
                <c:pt idx="2">
                  <c:v>Ensino Técnico</c:v>
                </c:pt>
                <c:pt idx="3">
                  <c:v>Ensino Superior Incompleto</c:v>
                </c:pt>
                <c:pt idx="4">
                  <c:v>Ensino Superior Completo</c:v>
                </c:pt>
                <c:pt idx="5">
                  <c:v>Especialização</c:v>
                </c:pt>
                <c:pt idx="6">
                  <c:v>Mestrado</c:v>
                </c:pt>
                <c:pt idx="7">
                  <c:v>Na prática/Na empresa</c:v>
                </c:pt>
                <c:pt idx="8">
                  <c:v>Autodidata</c:v>
                </c:pt>
              </c:strCache>
            </c:strRef>
          </c:cat>
          <c:val>
            <c:numRef>
              <c:f>0</c:f>
              <c:numCache>
                <c:formatCode>General</c:formatCode>
                <c:ptCount val="9"/>
                <c:pt idx="0">
                  <c:v>0.215</c:v>
                </c:pt>
                <c:pt idx="1">
                  <c:v>0.051</c:v>
                </c:pt>
                <c:pt idx="2">
                  <c:v>0.157</c:v>
                </c:pt>
                <c:pt idx="3">
                  <c:v>0.008</c:v>
                </c:pt>
                <c:pt idx="4">
                  <c:v>0.483</c:v>
                </c:pt>
                <c:pt idx="5">
                  <c:v>0.04</c:v>
                </c:pt>
                <c:pt idx="6">
                  <c:v>0.022</c:v>
                </c:pt>
                <c:pt idx="7">
                  <c:v>0.008</c:v>
                </c:pt>
                <c:pt idx="8">
                  <c:v>0.015</c:v>
                </c:pt>
              </c:numCache>
            </c:numRef>
          </c:val>
        </c:ser>
        <c:gapWidth val="84"/>
        <c:shape val="box"/>
        <c:axId val="38183834"/>
        <c:axId val="68109049"/>
        <c:axId val="0"/>
      </c:bar3DChart>
      <c:catAx>
        <c:axId val="38183834"/>
        <c:scaling>
          <c:orientation val="minMax"/>
        </c:scaling>
        <c:delete val="0"/>
        <c:axPos val="b"/>
        <c:numFmt formatCode="[$-416]DD/MM/YYYY" sourceLinked="1"/>
        <c:majorTickMark val="none"/>
        <c:minorTickMark val="none"/>
        <c:tickLblPos val="nextTo"/>
        <c:spPr>
          <a:ln w="6480">
            <a:noFill/>
          </a:ln>
        </c:spPr>
        <c:txPr>
          <a:bodyPr/>
          <a:lstStyle/>
          <a:p>
            <a:pPr>
              <a:defRPr b="0" sz="800" spc="-1" strike="noStrike">
                <a:solidFill>
                  <a:srgbClr val="bfbfbf"/>
                </a:solidFill>
                <a:latin typeface="Calibri"/>
              </a:defRPr>
            </a:pPr>
          </a:p>
        </c:txPr>
        <c:crossAx val="68109049"/>
        <c:crosses val="autoZero"/>
        <c:auto val="1"/>
        <c:lblAlgn val="ctr"/>
        <c:lblOffset val="100"/>
      </c:catAx>
      <c:valAx>
        <c:axId val="68109049"/>
        <c:scaling>
          <c:orientation val="minMax"/>
        </c:scaling>
        <c:delete val="1"/>
        <c:axPos val="l"/>
        <c:numFmt formatCode="0.0%"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38183834"/>
        <c:crosses val="autoZero"/>
      </c:valAx>
    </c:plotArea>
    <c:plotVisOnly val="1"/>
    <c:dispBlanksAs val="gap"/>
  </c:chart>
  <c:spPr>
    <a:solidFill>
      <a:srgbClr val="404040"/>
    </a:solidFill>
    <a:ln w="6480">
      <a:solidFill>
        <a:srgbClr val="8b8b8b"/>
      </a:solidFill>
      <a:round/>
    </a:ln>
  </c:spPr>
</c:chartSpace>
</file>

<file path=word/charts/chart32.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bar"/>
        <c:grouping val="clustered"/>
        <c:varyColors val="0"/>
        <c:ser>
          <c:idx val="0"/>
          <c:order val="0"/>
          <c:tx>
            <c:strRef>
              <c:f>label 0</c:f>
              <c:strCache>
                <c:ptCount val="1"/>
                <c:pt idx="0">
                  <c:v/>
                </c:pt>
              </c:strCache>
            </c:strRef>
          </c:tx>
          <c:spPr>
            <a:solidFill>
              <a:srgbClr val="5b9bd5">
                <a:alpha val="88000"/>
              </a:srgbClr>
            </a:solidFill>
            <a:ln>
              <a:solidFill>
                <a:srgbClr val="1f4e79"/>
              </a:solidFill>
            </a:ln>
          </c:spPr>
          <c:invertIfNegative val="0"/>
          <c:dPt>
            <c:idx val="0"/>
            <c:invertIfNegative val="0"/>
            <c:spPr>
              <a:solidFill>
                <a:srgbClr val="5b9bd5">
                  <a:alpha val="88000"/>
                </a:srgbClr>
              </a:solidFill>
              <a:ln>
                <a:solidFill>
                  <a:srgbClr val="1f4e79"/>
                </a:solidFill>
              </a:ln>
            </c:spPr>
          </c:dPt>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Pt>
            <c:idx val="5"/>
            <c:invertIfNegative val="0"/>
            <c:spPr>
              <a:solidFill>
                <a:srgbClr val="5b9bd5">
                  <a:alpha val="88000"/>
                </a:srgbClr>
              </a:solidFill>
              <a:ln>
                <a:solidFill>
                  <a:srgbClr val="1f4e79"/>
                </a:solidFill>
              </a:ln>
            </c:spPr>
          </c:dPt>
          <c:dPt>
            <c:idx val="6"/>
            <c:invertIfNegative val="0"/>
            <c:spPr>
              <a:solidFill>
                <a:srgbClr val="5b9bd5">
                  <a:alpha val="88000"/>
                </a:srgbClr>
              </a:solidFill>
              <a:ln>
                <a:solidFill>
                  <a:srgbClr val="1f4e79"/>
                </a:solidFill>
              </a:ln>
            </c:spPr>
          </c:dPt>
          <c:dLbls>
            <c:numFmt formatCode="0.0%" sourceLinked="1"/>
            <c:dLbl>
              <c:idx val="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5"/>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6"/>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7"/>
                <c:pt idx="0">
                  <c:v>Sim, um curso de capacitação desvinculado da formação escolar</c:v>
                </c:pt>
                <c:pt idx="1">
                  <c:v>Sim, um curso técnico (nível médio)</c:v>
                </c:pt>
                <c:pt idx="2">
                  <c:v>Sim, um curso de graduação</c:v>
                </c:pt>
                <c:pt idx="3">
                  <c:v>Sim, um curso de pós-graduação</c:v>
                </c:pt>
                <c:pt idx="4">
                  <c:v>Não, nem planeja fazer no curto prazo</c:v>
                </c:pt>
                <c:pt idx="5">
                  <c:v>Não, mas planeja fazer no curto prazo</c:v>
                </c:pt>
                <c:pt idx="6">
                  <c:v>Não respondeu</c:v>
                </c:pt>
              </c:strCache>
            </c:strRef>
          </c:cat>
          <c:val>
            <c:numRef>
              <c:f>0</c:f>
              <c:numCache>
                <c:formatCode>General</c:formatCode>
                <c:ptCount val="7"/>
                <c:pt idx="0">
                  <c:v>0.066</c:v>
                </c:pt>
                <c:pt idx="1">
                  <c:v>0.035</c:v>
                </c:pt>
                <c:pt idx="2">
                  <c:v>0.134</c:v>
                </c:pt>
                <c:pt idx="3">
                  <c:v>0.073</c:v>
                </c:pt>
                <c:pt idx="4">
                  <c:v>0.459</c:v>
                </c:pt>
                <c:pt idx="5">
                  <c:v>0.232</c:v>
                </c:pt>
                <c:pt idx="6">
                  <c:v>0.002</c:v>
                </c:pt>
              </c:numCache>
            </c:numRef>
          </c:val>
        </c:ser>
        <c:gapWidth val="84"/>
        <c:shape val="box"/>
        <c:axId val="40767694"/>
        <c:axId val="3336414"/>
        <c:axId val="0"/>
      </c:bar3DChart>
      <c:catAx>
        <c:axId val="40767694"/>
        <c:scaling>
          <c:orientation val="minMax"/>
        </c:scaling>
        <c:delete val="0"/>
        <c:axPos val="b"/>
        <c:numFmt formatCode="[$-416]DD/MM/YYYY" sourceLinked="1"/>
        <c:majorTickMark val="none"/>
        <c:minorTickMark val="none"/>
        <c:tickLblPos val="nextTo"/>
        <c:spPr>
          <a:ln w="6480">
            <a:noFill/>
          </a:ln>
        </c:spPr>
        <c:txPr>
          <a:bodyPr/>
          <a:lstStyle/>
          <a:p>
            <a:pPr>
              <a:defRPr b="0" sz="800" spc="-1" strike="noStrike">
                <a:solidFill>
                  <a:srgbClr val="bfbfbf"/>
                </a:solidFill>
                <a:latin typeface="Calibri"/>
              </a:defRPr>
            </a:pPr>
          </a:p>
        </c:txPr>
        <c:crossAx val="3336414"/>
        <c:crosses val="autoZero"/>
        <c:auto val="1"/>
        <c:lblAlgn val="ctr"/>
        <c:lblOffset val="100"/>
      </c:catAx>
      <c:valAx>
        <c:axId val="3336414"/>
        <c:scaling>
          <c:orientation val="minMax"/>
        </c:scaling>
        <c:delete val="1"/>
        <c:axPos val="l"/>
        <c:numFmt formatCode="0.0%"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40767694"/>
        <c:crosses val="autoZero"/>
      </c:valAx>
    </c:plotArea>
    <c:plotVisOnly val="1"/>
    <c:dispBlanksAs val="gap"/>
  </c:chart>
  <c:spPr>
    <a:solidFill>
      <a:srgbClr val="404040"/>
    </a:solidFill>
    <a:ln w="6480">
      <a:solidFill>
        <a:srgbClr val="8b8b8b"/>
      </a:solidFill>
      <a:round/>
    </a:ln>
  </c:spPr>
</c:chartSpace>
</file>

<file path=word/charts/chart33.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Pt>
            <c:idx val="4"/>
            <c:spPr>
              <a:solidFill>
                <a:srgbClr val="4472c4"/>
              </a:solidFill>
              <a:ln>
                <a:noFill/>
              </a:ln>
            </c:spPr>
          </c:dPt>
          <c:dPt>
            <c:idx val="5"/>
            <c:spPr>
              <a:solidFill>
                <a:srgbClr val="70ad47"/>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4"/>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5"/>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6"/>
                <c:pt idx="0">
                  <c:v>Valores centrados na família</c:v>
                </c:pt>
                <c:pt idx="1">
                  <c:v>Valores centrados no civismo e na cidadania</c:v>
                </c:pt>
                <c:pt idx="2">
                  <c:v>Valores centrados na ciência e na tecnologia</c:v>
                </c:pt>
                <c:pt idx="3">
                  <c:v>Valores centrados no mundo dos negócios</c:v>
                </c:pt>
                <c:pt idx="4">
                  <c:v>Valores centrados na religião</c:v>
                </c:pt>
                <c:pt idx="5">
                  <c:v>Outra.</c:v>
                </c:pt>
              </c:strCache>
            </c:strRef>
          </c:cat>
          <c:val>
            <c:numRef>
              <c:f>0</c:f>
              <c:numCache>
                <c:formatCode>General</c:formatCode>
                <c:ptCount val="6"/>
                <c:pt idx="0">
                  <c:v>0.374</c:v>
                </c:pt>
                <c:pt idx="1">
                  <c:v>0.277</c:v>
                </c:pt>
                <c:pt idx="2">
                  <c:v>0.216</c:v>
                </c:pt>
                <c:pt idx="3">
                  <c:v>0.072</c:v>
                </c:pt>
                <c:pt idx="4">
                  <c:v>0.053</c:v>
                </c:pt>
                <c:pt idx="5">
                  <c:v>0.007</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34.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Pt>
            <c:idx val="4"/>
            <c:spPr>
              <a:solidFill>
                <a:srgbClr val="4472c4"/>
              </a:solidFill>
              <a:ln>
                <a:noFill/>
              </a:ln>
            </c:spPr>
          </c:dPt>
          <c:dPt>
            <c:idx val="5"/>
            <c:spPr>
              <a:solidFill>
                <a:srgbClr val="70ad47"/>
              </a:solidFill>
              <a:ln>
                <a:noFill/>
              </a:ln>
            </c:spPr>
          </c:dPt>
          <c:dPt>
            <c:idx val="6"/>
            <c:spPr>
              <a:solidFill>
                <a:srgbClr val="255e91"/>
              </a:solidFill>
              <a:ln>
                <a:noFill/>
              </a:ln>
            </c:spPr>
          </c:dPt>
          <c:dPt>
            <c:idx val="7"/>
            <c:spPr>
              <a:solidFill>
                <a:srgbClr val="9e480e"/>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4"/>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5"/>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6"/>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7"/>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8"/>
                <c:pt idx="0">
                  <c:v>Católica</c:v>
                </c:pt>
                <c:pt idx="1">
                  <c:v>Sem religião</c:v>
                </c:pt>
                <c:pt idx="2">
                  <c:v>Evangélica</c:v>
                </c:pt>
                <c:pt idx="3">
                  <c:v>Espírita</c:v>
                </c:pt>
                <c:pt idx="4">
                  <c:v>Testemunha de Jeová</c:v>
                </c:pt>
                <c:pt idx="5">
                  <c:v>Umbandista</c:v>
                </c:pt>
                <c:pt idx="6">
                  <c:v>Candomblé</c:v>
                </c:pt>
                <c:pt idx="7">
                  <c:v>Outra</c:v>
                </c:pt>
              </c:strCache>
            </c:strRef>
          </c:cat>
          <c:val>
            <c:numRef>
              <c:f>0</c:f>
              <c:numCache>
                <c:formatCode>General</c:formatCode>
                <c:ptCount val="8"/>
                <c:pt idx="0">
                  <c:v>0.399</c:v>
                </c:pt>
                <c:pt idx="1">
                  <c:v>0.288</c:v>
                </c:pt>
                <c:pt idx="2">
                  <c:v>0.197</c:v>
                </c:pt>
                <c:pt idx="3">
                  <c:v>0.086</c:v>
                </c:pt>
                <c:pt idx="4">
                  <c:v>0.003</c:v>
                </c:pt>
                <c:pt idx="5">
                  <c:v>0.003</c:v>
                </c:pt>
                <c:pt idx="6">
                  <c:v>0.002</c:v>
                </c:pt>
                <c:pt idx="7">
                  <c:v>0.022</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35.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bar"/>
        <c:grouping val="clustered"/>
        <c:varyColors val="0"/>
        <c:ser>
          <c:idx val="0"/>
          <c:order val="0"/>
          <c:tx>
            <c:strRef>
              <c:f>label 0</c:f>
              <c:strCache>
                <c:ptCount val="1"/>
                <c:pt idx="0">
                  <c:v/>
                </c:pt>
              </c:strCache>
            </c:strRef>
          </c:tx>
          <c:spPr>
            <a:solidFill>
              <a:srgbClr val="5b9bd5">
                <a:alpha val="88000"/>
              </a:srgbClr>
            </a:solidFill>
            <a:ln>
              <a:solidFill>
                <a:srgbClr val="1f4e79"/>
              </a:solidFill>
            </a:ln>
          </c:spPr>
          <c:invertIfNegative val="0"/>
          <c:dPt>
            <c:idx val="0"/>
            <c:invertIfNegative val="0"/>
            <c:spPr>
              <a:solidFill>
                <a:srgbClr val="5b9bd5">
                  <a:alpha val="88000"/>
                </a:srgbClr>
              </a:solidFill>
              <a:ln>
                <a:solidFill>
                  <a:srgbClr val="1f4e79"/>
                </a:solidFill>
              </a:ln>
            </c:spPr>
          </c:dPt>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Pt>
            <c:idx val="5"/>
            <c:invertIfNegative val="0"/>
            <c:spPr>
              <a:solidFill>
                <a:srgbClr val="5b9bd5">
                  <a:alpha val="88000"/>
                </a:srgbClr>
              </a:solidFill>
              <a:ln>
                <a:solidFill>
                  <a:srgbClr val="1f4e79"/>
                </a:solidFill>
              </a:ln>
            </c:spPr>
          </c:dPt>
          <c:dPt>
            <c:idx val="6"/>
            <c:invertIfNegative val="0"/>
            <c:spPr>
              <a:solidFill>
                <a:srgbClr val="5b9bd5">
                  <a:alpha val="88000"/>
                </a:srgbClr>
              </a:solidFill>
              <a:ln>
                <a:solidFill>
                  <a:srgbClr val="1f4e79"/>
                </a:solidFill>
              </a:ln>
            </c:spPr>
          </c:dPt>
          <c:dPt>
            <c:idx val="7"/>
            <c:invertIfNegative val="0"/>
            <c:spPr>
              <a:solidFill>
                <a:srgbClr val="5b9bd5">
                  <a:alpha val="88000"/>
                </a:srgbClr>
              </a:solidFill>
              <a:ln>
                <a:solidFill>
                  <a:srgbClr val="1f4e79"/>
                </a:solidFill>
              </a:ln>
            </c:spPr>
          </c:dPt>
          <c:dPt>
            <c:idx val="8"/>
            <c:invertIfNegative val="0"/>
            <c:spPr>
              <a:solidFill>
                <a:srgbClr val="5b9bd5">
                  <a:alpha val="88000"/>
                </a:srgbClr>
              </a:solidFill>
              <a:ln>
                <a:solidFill>
                  <a:srgbClr val="1f4e79"/>
                </a:solidFill>
              </a:ln>
            </c:spPr>
          </c:dPt>
          <c:dPt>
            <c:idx val="9"/>
            <c:invertIfNegative val="0"/>
            <c:spPr>
              <a:solidFill>
                <a:srgbClr val="5b9bd5">
                  <a:alpha val="88000"/>
                </a:srgbClr>
              </a:solidFill>
              <a:ln>
                <a:solidFill>
                  <a:srgbClr val="1f4e79"/>
                </a:solidFill>
              </a:ln>
            </c:spPr>
          </c:dPt>
          <c:dLbls>
            <c:numFmt formatCode="0.0%" sourceLinked="1"/>
            <c:dLbl>
              <c:idx val="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5"/>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6"/>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7"/>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8"/>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9"/>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10"/>
                <c:pt idx="0">
                  <c:v>No trabalho</c:v>
                </c:pt>
                <c:pt idx="1">
                  <c:v>No ambiente familiar</c:v>
                </c:pt>
                <c:pt idx="2">
                  <c:v>No ambiente escolar</c:v>
                </c:pt>
                <c:pt idx="3">
                  <c:v>Na vizinhança</c:v>
                </c:pt>
                <c:pt idx="4">
                  <c:v>Nas redes sociais</c:v>
                </c:pt>
                <c:pt idx="5">
                  <c:v>Nos ambientes ligados ao lazer (bares, boates, restaurantes, festas etc.)</c:v>
                </c:pt>
                <c:pt idx="6">
                  <c:v>No convívio religioso</c:v>
                </c:pt>
                <c:pt idx="7">
                  <c:v>Nos ambientes ligados ao esporte</c:v>
                </c:pt>
                <c:pt idx="8">
                  <c:v>Nos ambientes ligados à política</c:v>
                </c:pt>
                <c:pt idx="9">
                  <c:v>Outra.</c:v>
                </c:pt>
              </c:strCache>
            </c:strRef>
          </c:cat>
          <c:val>
            <c:numRef>
              <c:f>0</c:f>
              <c:numCache>
                <c:formatCode>General</c:formatCode>
                <c:ptCount val="10"/>
                <c:pt idx="0">
                  <c:v>0.357</c:v>
                </c:pt>
                <c:pt idx="1">
                  <c:v>0.226</c:v>
                </c:pt>
                <c:pt idx="2">
                  <c:v>0.092</c:v>
                </c:pt>
                <c:pt idx="3">
                  <c:v>0.089</c:v>
                </c:pt>
                <c:pt idx="4">
                  <c:v>0.074</c:v>
                </c:pt>
                <c:pt idx="5">
                  <c:v>0.071</c:v>
                </c:pt>
                <c:pt idx="6">
                  <c:v>0.054</c:v>
                </c:pt>
                <c:pt idx="7">
                  <c:v>0.025</c:v>
                </c:pt>
                <c:pt idx="8">
                  <c:v>0.003</c:v>
                </c:pt>
                <c:pt idx="9">
                  <c:v>0.009</c:v>
                </c:pt>
              </c:numCache>
            </c:numRef>
          </c:val>
        </c:ser>
        <c:gapWidth val="84"/>
        <c:shape val="box"/>
        <c:axId val="64258866"/>
        <c:axId val="63484887"/>
        <c:axId val="0"/>
      </c:bar3DChart>
      <c:catAx>
        <c:axId val="64258866"/>
        <c:scaling>
          <c:orientation val="minMax"/>
        </c:scaling>
        <c:delete val="0"/>
        <c:axPos val="b"/>
        <c:numFmt formatCode="[$-416]DD/MM/YYYY" sourceLinked="1"/>
        <c:majorTickMark val="none"/>
        <c:minorTickMark val="none"/>
        <c:tickLblPos val="nextTo"/>
        <c:spPr>
          <a:ln w="6480">
            <a:noFill/>
          </a:ln>
        </c:spPr>
        <c:txPr>
          <a:bodyPr/>
          <a:lstStyle/>
          <a:p>
            <a:pPr>
              <a:defRPr b="0" sz="700" spc="-1" strike="noStrike">
                <a:solidFill>
                  <a:srgbClr val="bfbfbf"/>
                </a:solidFill>
                <a:latin typeface="Calibri"/>
              </a:defRPr>
            </a:pPr>
          </a:p>
        </c:txPr>
        <c:crossAx val="63484887"/>
        <c:crosses val="autoZero"/>
        <c:auto val="1"/>
        <c:lblAlgn val="ctr"/>
        <c:lblOffset val="100"/>
      </c:catAx>
      <c:valAx>
        <c:axId val="63484887"/>
        <c:scaling>
          <c:orientation val="minMax"/>
        </c:scaling>
        <c:delete val="1"/>
        <c:axPos val="l"/>
        <c:numFmt formatCode="0.0%"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64258866"/>
        <c:crosses val="autoZero"/>
      </c:valAx>
    </c:plotArea>
    <c:plotVisOnly val="1"/>
    <c:dispBlanksAs val="gap"/>
  </c:chart>
  <c:spPr>
    <a:solidFill>
      <a:srgbClr val="404040"/>
    </a:solidFill>
    <a:ln w="6480">
      <a:solidFill>
        <a:srgbClr val="8b8b8b"/>
      </a:solidFill>
      <a:round/>
    </a:ln>
  </c:spPr>
</c:chartSpace>
</file>

<file path=word/charts/chart36.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Muito</c:v>
                </c:pt>
                <c:pt idx="1">
                  <c:v>Médio</c:v>
                </c:pt>
                <c:pt idx="2">
                  <c:v>Nenhum</c:v>
                </c:pt>
                <c:pt idx="3">
                  <c:v>Pouco</c:v>
                </c:pt>
              </c:strCache>
            </c:strRef>
          </c:cat>
          <c:val>
            <c:numRef>
              <c:f>0</c:f>
              <c:numCache>
                <c:formatCode>General</c:formatCode>
                <c:ptCount val="4"/>
                <c:pt idx="0">
                  <c:v>0.257</c:v>
                </c:pt>
                <c:pt idx="1">
                  <c:v>0.349</c:v>
                </c:pt>
                <c:pt idx="2">
                  <c:v>0.166</c:v>
                </c:pt>
                <c:pt idx="3">
                  <c:v>0.228</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37.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layout>
        <c:manualLayout>
          <c:layoutTarget val="inner"/>
          <c:xMode val="edge"/>
          <c:yMode val="edge"/>
          <c:x val="0.045125"/>
          <c:y val="0.0682222222222222"/>
          <c:w val="0.7894375"/>
          <c:h val="0.863555555555556"/>
        </c:manualLayout>
      </c:layout>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2"/>
                <c:pt idx="0">
                  <c:v>Sim</c:v>
                </c:pt>
                <c:pt idx="1">
                  <c:v>Não</c:v>
                </c:pt>
              </c:strCache>
            </c:strRef>
          </c:cat>
          <c:val>
            <c:numRef>
              <c:f>0</c:f>
              <c:numCache>
                <c:formatCode>General</c:formatCode>
                <c:ptCount val="2"/>
                <c:pt idx="0">
                  <c:v>0.038</c:v>
                </c:pt>
                <c:pt idx="1">
                  <c:v>0.962</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38.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6480">
          <a:noFill/>
        </a:ln>
      </c:spPr>
    </c:floor>
    <c:sideWall>
      <c:spPr>
        <a:noFill/>
        <a:ln w="6480">
          <a:noFill/>
        </a:ln>
      </c:spPr>
    </c:sideWall>
    <c:backWall>
      <c:spPr>
        <a:noFill/>
        <a:ln w="6480">
          <a:noFill/>
        </a:ln>
      </c:spPr>
    </c:backWall>
    <c:plotArea>
      <c:bar3DChart>
        <c:barDir val="col"/>
        <c:grouping val="stacked"/>
        <c:varyColors val="0"/>
        <c:ser>
          <c:idx val="0"/>
          <c:order val="0"/>
          <c:tx>
            <c:strRef>
              <c:f>label 0</c:f>
              <c:strCache>
                <c:ptCount val="1"/>
                <c:pt idx="0">
                  <c:v>Sim</c:v>
                </c:pt>
              </c:strCache>
            </c:strRef>
          </c:tx>
          <c:spPr>
            <a:solidFill>
              <a:srgbClr val="5b9bd5"/>
            </a:solidFill>
            <a:ln>
              <a:noFill/>
            </a:ln>
          </c:spPr>
          <c:invertIfNegative val="0"/>
          <c:dLbls>
            <c:numFmt formatCode="0.0%" sourceLinked="1"/>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strRef>
              <c:f>categories</c:f>
              <c:strCache>
                <c:ptCount val="14"/>
                <c:pt idx="0">
                  <c:v>Associação de moradores</c:v>
                </c:pt>
                <c:pt idx="1">
                  <c:v>Grupo de jovens</c:v>
                </c:pt>
                <c:pt idx="2">
                  <c:v>Grêmio/diretório estudantil</c:v>
                </c:pt>
                <c:pt idx="3">
                  <c:v>Grupo religioso</c:v>
                </c:pt>
                <c:pt idx="4">
                  <c:v>Associação cultural</c:v>
                </c:pt>
                <c:pt idx="5">
                  <c:v>Associação profissional</c:v>
                </c:pt>
                <c:pt idx="6">
                  <c:v>Associação empresarial</c:v>
                </c:pt>
                <c:pt idx="7">
                  <c:v>Movimento com atuação ambiental</c:v>
                </c:pt>
                <c:pt idx="8">
                  <c:v>Movimento com atuação na educação</c:v>
                </c:pt>
                <c:pt idx="9">
                  <c:v>Movimento com atuação em saúde</c:v>
                </c:pt>
                <c:pt idx="10">
                  <c:v>Movimento com atuação em temas feministas</c:v>
                </c:pt>
                <c:pt idx="11">
                  <c:v>Movimento com atuação em pautas de LGBTT</c:v>
                </c:pt>
                <c:pt idx="12">
                  <c:v>Movimento contra a discriminação racial</c:v>
                </c:pt>
                <c:pt idx="13">
                  <c:v>Outro</c:v>
                </c:pt>
              </c:strCache>
            </c:strRef>
          </c:cat>
          <c:val>
            <c:numRef>
              <c:f>0</c:f>
              <c:numCache>
                <c:formatCode>General</c:formatCode>
                <c:ptCount val="14"/>
                <c:pt idx="0">
                  <c:v>0.028</c:v>
                </c:pt>
                <c:pt idx="1">
                  <c:v>0.046</c:v>
                </c:pt>
                <c:pt idx="2">
                  <c:v>0.01</c:v>
                </c:pt>
                <c:pt idx="3">
                  <c:v>0.159</c:v>
                </c:pt>
                <c:pt idx="4">
                  <c:v>0.025</c:v>
                </c:pt>
                <c:pt idx="5">
                  <c:v>0.06</c:v>
                </c:pt>
                <c:pt idx="6">
                  <c:v>0.025</c:v>
                </c:pt>
                <c:pt idx="7">
                  <c:v>0.022</c:v>
                </c:pt>
                <c:pt idx="8">
                  <c:v>0.031</c:v>
                </c:pt>
                <c:pt idx="9">
                  <c:v>0.022</c:v>
                </c:pt>
                <c:pt idx="10">
                  <c:v>0.02</c:v>
                </c:pt>
                <c:pt idx="11">
                  <c:v>0.013</c:v>
                </c:pt>
                <c:pt idx="12">
                  <c:v>0.02</c:v>
                </c:pt>
                <c:pt idx="13">
                  <c:v>0.017</c:v>
                </c:pt>
              </c:numCache>
            </c:numRef>
          </c:val>
        </c:ser>
        <c:ser>
          <c:idx val="1"/>
          <c:order val="1"/>
          <c:tx>
            <c:strRef>
              <c:f>label 1</c:f>
              <c:strCache>
                <c:ptCount val="1"/>
                <c:pt idx="0">
                  <c:v>Não</c:v>
                </c:pt>
              </c:strCache>
            </c:strRef>
          </c:tx>
          <c:spPr>
            <a:solidFill>
              <a:srgbClr val="ed7d31"/>
            </a:solidFill>
            <a:ln>
              <a:noFill/>
            </a:ln>
          </c:spPr>
          <c:invertIfNegative val="0"/>
          <c:dLbls>
            <c:numFmt formatCode="0.0%" sourceLinked="1"/>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strRef>
              <c:f>categories</c:f>
              <c:strCache>
                <c:ptCount val="14"/>
                <c:pt idx="0">
                  <c:v>Associação de moradores</c:v>
                </c:pt>
                <c:pt idx="1">
                  <c:v>Grupo de jovens</c:v>
                </c:pt>
                <c:pt idx="2">
                  <c:v>Grêmio/diretório estudantil</c:v>
                </c:pt>
                <c:pt idx="3">
                  <c:v>Grupo religioso</c:v>
                </c:pt>
                <c:pt idx="4">
                  <c:v>Associação cultural</c:v>
                </c:pt>
                <c:pt idx="5">
                  <c:v>Associação profissional</c:v>
                </c:pt>
                <c:pt idx="6">
                  <c:v>Associação empresarial</c:v>
                </c:pt>
                <c:pt idx="7">
                  <c:v>Movimento com atuação ambiental</c:v>
                </c:pt>
                <c:pt idx="8">
                  <c:v>Movimento com atuação na educação</c:v>
                </c:pt>
                <c:pt idx="9">
                  <c:v>Movimento com atuação em saúde</c:v>
                </c:pt>
                <c:pt idx="10">
                  <c:v>Movimento com atuação em temas feministas</c:v>
                </c:pt>
                <c:pt idx="11">
                  <c:v>Movimento com atuação em pautas de LGBTT</c:v>
                </c:pt>
                <c:pt idx="12">
                  <c:v>Movimento contra a discriminação racial</c:v>
                </c:pt>
                <c:pt idx="13">
                  <c:v>Outro</c:v>
                </c:pt>
              </c:strCache>
            </c:strRef>
          </c:cat>
          <c:val>
            <c:numRef>
              <c:f>1</c:f>
              <c:numCache>
                <c:formatCode>General</c:formatCode>
                <c:ptCount val="14"/>
                <c:pt idx="0">
                  <c:v>0.972</c:v>
                </c:pt>
                <c:pt idx="1">
                  <c:v>0.954</c:v>
                </c:pt>
                <c:pt idx="2">
                  <c:v>0.99</c:v>
                </c:pt>
                <c:pt idx="3">
                  <c:v>0.841</c:v>
                </c:pt>
                <c:pt idx="4">
                  <c:v>0.975</c:v>
                </c:pt>
                <c:pt idx="5">
                  <c:v>0.94</c:v>
                </c:pt>
                <c:pt idx="6">
                  <c:v>0.975</c:v>
                </c:pt>
                <c:pt idx="7">
                  <c:v>0.978</c:v>
                </c:pt>
                <c:pt idx="8">
                  <c:v>0.969</c:v>
                </c:pt>
                <c:pt idx="9">
                  <c:v>0.978</c:v>
                </c:pt>
                <c:pt idx="10">
                  <c:v>0.98</c:v>
                </c:pt>
                <c:pt idx="11">
                  <c:v>0.987</c:v>
                </c:pt>
                <c:pt idx="12">
                  <c:v>0.98</c:v>
                </c:pt>
                <c:pt idx="13">
                  <c:v>0.983</c:v>
                </c:pt>
              </c:numCache>
            </c:numRef>
          </c:val>
        </c:ser>
        <c:gapWidth val="150"/>
        <c:shape val="box"/>
        <c:axId val="32379167"/>
        <c:axId val="99967446"/>
        <c:axId val="0"/>
      </c:bar3DChart>
      <c:catAx>
        <c:axId val="32379167"/>
        <c:scaling>
          <c:orientation val="minMax"/>
        </c:scaling>
        <c:delete val="0"/>
        <c:axPos val="b"/>
        <c:numFmt formatCode="[$-416]DD/MM/YYYY" sourceLinked="1"/>
        <c:majorTickMark val="none"/>
        <c:minorTickMark val="none"/>
        <c:tickLblPos val="nextTo"/>
        <c:spPr>
          <a:ln w="6480">
            <a:noFill/>
          </a:ln>
        </c:spPr>
        <c:txPr>
          <a:bodyPr/>
          <a:lstStyle/>
          <a:p>
            <a:pPr>
              <a:defRPr b="0" sz="600" spc="-1" strike="noStrike">
                <a:solidFill>
                  <a:srgbClr val="595959"/>
                </a:solidFill>
                <a:latin typeface="Calibri"/>
              </a:defRPr>
            </a:pPr>
          </a:p>
        </c:txPr>
        <c:crossAx val="99967446"/>
        <c:crosses val="autoZero"/>
        <c:auto val="1"/>
        <c:lblAlgn val="ctr"/>
        <c:lblOffset val="100"/>
      </c:catAx>
      <c:valAx>
        <c:axId val="99967446"/>
        <c:scaling>
          <c:orientation val="minMax"/>
        </c:scaling>
        <c:delete val="0"/>
        <c:axPos val="l"/>
        <c:majorGridlines>
          <c:spPr>
            <a:ln w="9360">
              <a:solidFill>
                <a:srgbClr val="d9d9d9"/>
              </a:solidFill>
              <a:round/>
            </a:ln>
          </c:spPr>
        </c:majorGridlines>
        <c:numFmt formatCode="0.0%" sourceLinked="0"/>
        <c:majorTickMark val="none"/>
        <c:minorTickMark val="none"/>
        <c:tickLblPos val="nextTo"/>
        <c:spPr>
          <a:ln w="6480">
            <a:noFill/>
          </a:ln>
        </c:spPr>
        <c:txPr>
          <a:bodyPr/>
          <a:lstStyle/>
          <a:p>
            <a:pPr>
              <a:defRPr b="0" sz="700" spc="-1" strike="noStrike">
                <a:solidFill>
                  <a:srgbClr val="595959"/>
                </a:solidFill>
                <a:latin typeface="Calibri"/>
              </a:defRPr>
            </a:pPr>
          </a:p>
        </c:txPr>
        <c:crossAx val="32379167"/>
        <c:crosses val="autoZero"/>
      </c:valAx>
    </c:plotArea>
    <c:legend>
      <c:legendPos val="b"/>
      <c:overlay val="0"/>
      <c:spPr>
        <a:noFill/>
        <a:ln>
          <a:noFill/>
        </a:ln>
      </c:spPr>
      <c:txPr>
        <a:bodyPr/>
        <a:lstStyle/>
        <a:p>
          <a:pPr>
            <a:defRPr b="0" sz="7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3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00" spc="-1" strike="noStrike">
                <a:solidFill>
                  <a:srgbClr val="404040"/>
                </a:solidFill>
                <a:latin typeface="Calibri"/>
              </a:defRPr>
            </a:pPr>
            <a:r>
              <a:rPr b="1" sz="900" spc="-1" strike="noStrike">
                <a:solidFill>
                  <a:srgbClr val="404040"/>
                </a:solidFill>
                <a:latin typeface="Calibri"/>
              </a:rPr>
              <a:t>Na forma presencial em lugares fechados</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3"/>
                <c:pt idx="0">
                  <c:v>Sim, poucas vezes</c:v>
                </c:pt>
                <c:pt idx="1">
                  <c:v>Sim, muitas vezes</c:v>
                </c:pt>
                <c:pt idx="2">
                  <c:v>Não</c:v>
                </c:pt>
              </c:strCache>
            </c:strRef>
          </c:cat>
          <c:val>
            <c:numRef>
              <c:f>0</c:f>
              <c:numCache>
                <c:formatCode>General</c:formatCode>
                <c:ptCount val="3"/>
                <c:pt idx="0">
                  <c:v>0.104</c:v>
                </c:pt>
                <c:pt idx="1">
                  <c:v>0.113</c:v>
                </c:pt>
                <c:pt idx="2">
                  <c:v>0.783</c:v>
                </c:pt>
              </c:numCache>
            </c:numRef>
          </c:val>
        </c:ser>
      </c:pie3DChart>
    </c:plotArea>
    <c:legend>
      <c:legendPos val="r"/>
      <c:overlay val="0"/>
      <c:spPr>
        <a:solidFill>
          <a:srgbClr val="f2f2f2">
            <a:alpha val="39000"/>
          </a:srgbClr>
        </a:solidFill>
        <a:ln>
          <a:noFill/>
        </a:ln>
      </c:spPr>
      <c:txPr>
        <a:bodyPr/>
        <a:lstStyle/>
        <a:p>
          <a:pPr>
            <a:defRPr b="0" sz="7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6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Lbls>
            <c:numFmt formatCode="0.00%" sourceLinked="1"/>
            <c:dLbl>
              <c:idx val="0"/>
              <c:txPr>
                <a:bodyPr/>
                <a:lstStyle/>
                <a:p>
                  <a:pPr>
                    <a:defRPr b="1" sz="900" spc="-1" strike="noStrike">
                      <a:solidFill>
                        <a:srgbClr val="ffffff"/>
                      </a:solidFill>
                      <a:latin typeface="Calibri"/>
                    </a:defRPr>
                  </a:pPr>
                </a:p>
              </c:txPr>
              <c:dLblPos val="inEnd"/>
              <c:showLegendKey val="0"/>
              <c:showVal val="0"/>
              <c:showCatName val="0"/>
              <c:showSerName val="0"/>
              <c:showPercent val="1"/>
              <c:separator>
</c:separator>
            </c:dLbl>
            <c:dLbl>
              <c:idx val="1"/>
              <c:txPr>
                <a:bodyPr/>
                <a:lstStyle/>
                <a:p>
                  <a:pPr>
                    <a:defRPr b="1" sz="900" spc="-1" strike="noStrike">
                      <a:solidFill>
                        <a:srgbClr val="ffffff"/>
                      </a:solidFill>
                      <a:latin typeface="Calibri"/>
                    </a:defRPr>
                  </a:pPr>
                </a:p>
              </c:txPr>
              <c:dLblPos val="inEnd"/>
              <c:showLegendKey val="0"/>
              <c:showVal val="0"/>
              <c:showCatName val="0"/>
              <c:showSerName val="0"/>
              <c:showPercent val="1"/>
              <c:separator>
</c:separator>
            </c:dLbl>
            <c:txPr>
              <a:bodyPr/>
              <a:lstStyle/>
              <a:p>
                <a:pPr>
                  <a:defRPr b="1" sz="900" spc="-1" strike="noStrike">
                    <a:solidFill>
                      <a:srgbClr val="ffffff"/>
                    </a:solidFill>
                    <a:latin typeface="Calibri"/>
                  </a:defRPr>
                </a:pPr>
              </a:p>
            </c:txPr>
            <c:dLblPos val="inEnd"/>
            <c:showLegendKey val="0"/>
            <c:showVal val="0"/>
            <c:showCatName val="0"/>
            <c:showSerName val="0"/>
            <c:showPercent val="1"/>
            <c:separator>
</c:separator>
            <c:showLeaderLines val="0"/>
          </c:dLbls>
          <c:cat>
            <c:strRef>
              <c:f>categories</c:f>
              <c:strCache>
                <c:ptCount val="2"/>
                <c:pt idx="0">
                  <c:v>Feminino</c:v>
                </c:pt>
                <c:pt idx="1">
                  <c:v>Masculino</c:v>
                </c:pt>
              </c:strCache>
            </c:strRef>
          </c:cat>
          <c:val>
            <c:numRef>
              <c:f>0</c:f>
              <c:numCache>
                <c:formatCode>General</c:formatCode>
                <c:ptCount val="2"/>
                <c:pt idx="0">
                  <c:v>0.295</c:v>
                </c:pt>
                <c:pt idx="1">
                  <c:v>0.705</c:v>
                </c:pt>
              </c:numCache>
            </c:numRef>
          </c:val>
        </c:ser>
      </c:pie3DChart>
    </c:plotArea>
    <c:legend>
      <c:legendPos val="b"/>
      <c:overlay val="0"/>
      <c:spPr>
        <a:solidFill>
          <a:srgbClr val="ffffff">
            <a:alpha val="78000"/>
          </a:srgbClr>
        </a:solidFill>
        <a:ln>
          <a:noFill/>
        </a:ln>
      </c:spPr>
      <c:txPr>
        <a:bodyPr/>
        <a:lstStyle/>
        <a:p>
          <a:pPr>
            <a:defRPr b="0" sz="900" spc="-1" strike="noStrike">
              <a:solidFill>
                <a:srgbClr val="595959"/>
              </a:solidFill>
              <a:latin typeface="Calibri"/>
            </a:defRPr>
          </a:pPr>
        </a:p>
      </c:txPr>
    </c:legend>
    <c:plotVisOnly val="1"/>
    <c:dispBlanksAs val="gap"/>
  </c:chart>
  <c:spPr>
    <a:pattFill prst="ltDnDiag">
      <a:fgClr>
        <a:srgbClr val="f2f2f2"/>
      </a:fgClr>
      <a:bgClr>
        <a:srgbClr val="ffffff"/>
      </a:bgClr>
    </a:pattFill>
    <a:ln w="9360">
      <a:solidFill>
        <a:srgbClr val="d9d9d9"/>
      </a:solidFill>
      <a:round/>
    </a:ln>
  </c:spPr>
</c:chartSpace>
</file>

<file path=word/charts/chart40.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00" spc="-1" strike="noStrike">
                <a:solidFill>
                  <a:srgbClr val="404040"/>
                </a:solidFill>
                <a:latin typeface="Calibri"/>
              </a:defRPr>
            </a:pPr>
            <a:r>
              <a:rPr b="1" sz="900" spc="-1" strike="noStrike">
                <a:solidFill>
                  <a:srgbClr val="404040"/>
                </a:solidFill>
                <a:latin typeface="Calibri"/>
              </a:rPr>
              <a:t>Na forma presencial em lugares abertos</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3"/>
                <c:pt idx="0">
                  <c:v>Sim, poucas vezes</c:v>
                </c:pt>
                <c:pt idx="1">
                  <c:v>Sim, muitas vezes</c:v>
                </c:pt>
                <c:pt idx="2">
                  <c:v>Não</c:v>
                </c:pt>
              </c:strCache>
            </c:strRef>
          </c:cat>
          <c:val>
            <c:numRef>
              <c:f>0</c:f>
              <c:numCache>
                <c:formatCode>General</c:formatCode>
                <c:ptCount val="3"/>
                <c:pt idx="0">
                  <c:v>0.177</c:v>
                </c:pt>
                <c:pt idx="1">
                  <c:v>0.121</c:v>
                </c:pt>
                <c:pt idx="2">
                  <c:v>0.702</c:v>
                </c:pt>
              </c:numCache>
            </c:numRef>
          </c:val>
        </c:ser>
      </c:pie3DChart>
    </c:plotArea>
    <c:legend>
      <c:legendPos val="r"/>
      <c:overlay val="0"/>
      <c:spPr>
        <a:solidFill>
          <a:srgbClr val="f2f2f2">
            <a:alpha val="39000"/>
          </a:srgbClr>
        </a:solidFill>
        <a:ln>
          <a:noFill/>
        </a:ln>
      </c:spPr>
      <c:txPr>
        <a:bodyPr/>
        <a:lstStyle/>
        <a:p>
          <a:pPr>
            <a:defRPr b="0" sz="7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4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00" spc="-1" strike="noStrike">
                <a:solidFill>
                  <a:srgbClr val="404040"/>
                </a:solidFill>
                <a:latin typeface="Calibri"/>
              </a:defRPr>
            </a:pPr>
            <a:r>
              <a:rPr b="1" sz="900" spc="-1" strike="noStrike">
                <a:solidFill>
                  <a:srgbClr val="404040"/>
                </a:solidFill>
                <a:latin typeface="Calibri"/>
              </a:rPr>
              <a:t>Por meio virtual (redes sociais) </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3"/>
                <c:pt idx="0">
                  <c:v>Sim, poucas vezes</c:v>
                </c:pt>
                <c:pt idx="1">
                  <c:v>Sim, muitas vezes</c:v>
                </c:pt>
                <c:pt idx="2">
                  <c:v>Não</c:v>
                </c:pt>
              </c:strCache>
            </c:strRef>
          </c:cat>
          <c:val>
            <c:numRef>
              <c:f>0</c:f>
              <c:numCache>
                <c:formatCode>General</c:formatCode>
                <c:ptCount val="3"/>
                <c:pt idx="0">
                  <c:v>0.149</c:v>
                </c:pt>
                <c:pt idx="1">
                  <c:v>0.166</c:v>
                </c:pt>
                <c:pt idx="2">
                  <c:v>0.685</c:v>
                </c:pt>
              </c:numCache>
            </c:numRef>
          </c:val>
        </c:ser>
      </c:pie3DChart>
    </c:plotArea>
    <c:legend>
      <c:legendPos val="r"/>
      <c:overlay val="0"/>
      <c:spPr>
        <a:solidFill>
          <a:srgbClr val="f2f2f2">
            <a:alpha val="39000"/>
          </a:srgbClr>
        </a:solidFill>
        <a:ln>
          <a:noFill/>
        </a:ln>
      </c:spPr>
      <c:txPr>
        <a:bodyPr/>
        <a:lstStyle/>
        <a:p>
          <a:pPr>
            <a:defRPr b="0" sz="7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42.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bar"/>
        <c:grouping val="clustered"/>
        <c:varyColors val="0"/>
        <c:ser>
          <c:idx val="0"/>
          <c:order val="0"/>
          <c:tx>
            <c:strRef>
              <c:f>label 0</c:f>
              <c:strCache>
                <c:ptCount val="1"/>
                <c:pt idx="0">
                  <c:v/>
                </c:pt>
              </c:strCache>
            </c:strRef>
          </c:tx>
          <c:spPr>
            <a:solidFill>
              <a:srgbClr val="5b9bd5">
                <a:alpha val="88000"/>
              </a:srgbClr>
            </a:solidFill>
            <a:ln>
              <a:solidFill>
                <a:srgbClr val="1f4e79"/>
              </a:solidFill>
            </a:ln>
          </c:spPr>
          <c:invertIfNegative val="0"/>
          <c:dPt>
            <c:idx val="0"/>
            <c:invertIfNegative val="0"/>
            <c:spPr>
              <a:solidFill>
                <a:srgbClr val="5b9bd5">
                  <a:alpha val="88000"/>
                </a:srgbClr>
              </a:solidFill>
              <a:ln>
                <a:solidFill>
                  <a:srgbClr val="1f4e79"/>
                </a:solidFill>
              </a:ln>
            </c:spPr>
          </c:dPt>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Pt>
            <c:idx val="5"/>
            <c:invertIfNegative val="0"/>
            <c:spPr>
              <a:solidFill>
                <a:srgbClr val="5b9bd5">
                  <a:alpha val="88000"/>
                </a:srgbClr>
              </a:solidFill>
              <a:ln>
                <a:solidFill>
                  <a:srgbClr val="1f4e79"/>
                </a:solidFill>
              </a:ln>
            </c:spPr>
          </c:dPt>
          <c:dPt>
            <c:idx val="6"/>
            <c:invertIfNegative val="0"/>
            <c:spPr>
              <a:solidFill>
                <a:srgbClr val="5b9bd5">
                  <a:alpha val="88000"/>
                </a:srgbClr>
              </a:solidFill>
              <a:ln>
                <a:solidFill>
                  <a:srgbClr val="1f4e79"/>
                </a:solidFill>
              </a:ln>
            </c:spPr>
          </c:dPt>
          <c:dPt>
            <c:idx val="7"/>
            <c:invertIfNegative val="0"/>
            <c:spPr>
              <a:solidFill>
                <a:srgbClr val="5b9bd5">
                  <a:alpha val="88000"/>
                </a:srgbClr>
              </a:solidFill>
              <a:ln>
                <a:solidFill>
                  <a:srgbClr val="1f4e79"/>
                </a:solidFill>
              </a:ln>
            </c:spPr>
          </c:dPt>
          <c:dPt>
            <c:idx val="8"/>
            <c:invertIfNegative val="0"/>
            <c:spPr>
              <a:solidFill>
                <a:srgbClr val="5b9bd5">
                  <a:alpha val="88000"/>
                </a:srgbClr>
              </a:solidFill>
              <a:ln>
                <a:solidFill>
                  <a:srgbClr val="1f4e79"/>
                </a:solidFill>
              </a:ln>
            </c:spPr>
          </c:dPt>
          <c:dPt>
            <c:idx val="9"/>
            <c:invertIfNegative val="0"/>
            <c:spPr>
              <a:solidFill>
                <a:srgbClr val="5b9bd5">
                  <a:alpha val="88000"/>
                </a:srgbClr>
              </a:solidFill>
              <a:ln>
                <a:solidFill>
                  <a:srgbClr val="1f4e79"/>
                </a:solidFill>
              </a:ln>
            </c:spPr>
          </c:dPt>
          <c:dPt>
            <c:idx val="10"/>
            <c:invertIfNegative val="0"/>
            <c:spPr>
              <a:solidFill>
                <a:srgbClr val="5b9bd5">
                  <a:alpha val="88000"/>
                </a:srgbClr>
              </a:solidFill>
              <a:ln>
                <a:solidFill>
                  <a:srgbClr val="1f4e79"/>
                </a:solidFill>
              </a:ln>
            </c:spPr>
          </c:dPt>
          <c:dLbls>
            <c:numFmt formatCode="0.0%" sourceLinked="1"/>
            <c:dLbl>
              <c:idx val="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5"/>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6"/>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7"/>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8"/>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9"/>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0"/>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11"/>
                <c:pt idx="0">
                  <c:v>Pela TV</c:v>
                </c:pt>
                <c:pt idx="1">
                  <c:v>Pelas redes sociais</c:v>
                </c:pt>
                <c:pt idx="2">
                  <c:v>Pelos jornais e revistas</c:v>
                </c:pt>
                <c:pt idx="3">
                  <c:v>Pelo Rádio</c:v>
                </c:pt>
                <c:pt idx="4">
                  <c:v>No trabalho</c:v>
                </c:pt>
                <c:pt idx="5">
                  <c:v>Na família</c:v>
                </c:pt>
                <c:pt idx="6">
                  <c:v>Por meio de participação em associação/movimento</c:v>
                </c:pt>
                <c:pt idx="7">
                  <c:v>Em ambientes religiosos</c:v>
                </c:pt>
                <c:pt idx="8">
                  <c:v>Por meio do sindicato</c:v>
                </c:pt>
                <c:pt idx="9">
                  <c:v>Na escola</c:v>
                </c:pt>
                <c:pt idx="10">
                  <c:v>Outra.  Qual:</c:v>
                </c:pt>
              </c:strCache>
            </c:strRef>
          </c:cat>
          <c:val>
            <c:numRef>
              <c:f>0</c:f>
              <c:numCache>
                <c:formatCode>General</c:formatCode>
                <c:ptCount val="11"/>
                <c:pt idx="0">
                  <c:v>0.312</c:v>
                </c:pt>
                <c:pt idx="1">
                  <c:v>0.26</c:v>
                </c:pt>
                <c:pt idx="2">
                  <c:v>0.155</c:v>
                </c:pt>
                <c:pt idx="3">
                  <c:v>0.074</c:v>
                </c:pt>
                <c:pt idx="4">
                  <c:v>0.048</c:v>
                </c:pt>
                <c:pt idx="5">
                  <c:v>0.023</c:v>
                </c:pt>
                <c:pt idx="6">
                  <c:v>0.01</c:v>
                </c:pt>
                <c:pt idx="7">
                  <c:v>0.005</c:v>
                </c:pt>
                <c:pt idx="8">
                  <c:v>0.008</c:v>
                </c:pt>
                <c:pt idx="9">
                  <c:v>0.004</c:v>
                </c:pt>
                <c:pt idx="10">
                  <c:v>0.102</c:v>
                </c:pt>
              </c:numCache>
            </c:numRef>
          </c:val>
        </c:ser>
        <c:gapWidth val="84"/>
        <c:shape val="box"/>
        <c:axId val="68860911"/>
        <c:axId val="43213525"/>
        <c:axId val="0"/>
      </c:bar3DChart>
      <c:catAx>
        <c:axId val="68860911"/>
        <c:scaling>
          <c:orientation val="minMax"/>
        </c:scaling>
        <c:delete val="0"/>
        <c:axPos val="b"/>
        <c:numFmt formatCode="[$-416]DD/MM/YYYY" sourceLinked="1"/>
        <c:majorTickMark val="none"/>
        <c:minorTickMark val="none"/>
        <c:tickLblPos val="nextTo"/>
        <c:spPr>
          <a:ln w="6480">
            <a:noFill/>
          </a:ln>
        </c:spPr>
        <c:txPr>
          <a:bodyPr/>
          <a:lstStyle/>
          <a:p>
            <a:pPr>
              <a:defRPr b="0" sz="700" spc="-1" strike="noStrike">
                <a:solidFill>
                  <a:srgbClr val="bfbfbf"/>
                </a:solidFill>
                <a:latin typeface="Calibri"/>
              </a:defRPr>
            </a:pPr>
          </a:p>
        </c:txPr>
        <c:crossAx val="43213525"/>
        <c:crosses val="autoZero"/>
        <c:auto val="1"/>
        <c:lblAlgn val="ctr"/>
        <c:lblOffset val="100"/>
      </c:catAx>
      <c:valAx>
        <c:axId val="43213525"/>
        <c:scaling>
          <c:orientation val="minMax"/>
        </c:scaling>
        <c:delete val="1"/>
        <c:axPos val="l"/>
        <c:numFmt formatCode="0.0%"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68860911"/>
        <c:crosses val="autoZero"/>
      </c:valAx>
    </c:plotArea>
    <c:plotVisOnly val="1"/>
    <c:dispBlanksAs val="gap"/>
  </c:chart>
  <c:spPr>
    <a:solidFill>
      <a:srgbClr val="404040"/>
    </a:solidFill>
    <a:ln w="6480">
      <a:solidFill>
        <a:srgbClr val="8b8b8b"/>
      </a:solidFill>
      <a:round/>
    </a:ln>
  </c:spPr>
</c:chartSpace>
</file>

<file path=word/charts/chart43.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bar"/>
        <c:grouping val="clustered"/>
        <c:varyColors val="0"/>
        <c:ser>
          <c:idx val="0"/>
          <c:order val="0"/>
          <c:tx>
            <c:strRef>
              <c:f>label 0</c:f>
              <c:strCache>
                <c:ptCount val="1"/>
                <c:pt idx="0">
                  <c:v/>
                </c:pt>
              </c:strCache>
            </c:strRef>
          </c:tx>
          <c:spPr>
            <a:solidFill>
              <a:srgbClr val="5b9bd5">
                <a:alpha val="88000"/>
              </a:srgbClr>
            </a:solidFill>
            <a:ln>
              <a:solidFill>
                <a:srgbClr val="1f4e79"/>
              </a:solidFill>
            </a:ln>
          </c:spPr>
          <c:invertIfNegative val="0"/>
          <c:dPt>
            <c:idx val="0"/>
            <c:invertIfNegative val="0"/>
            <c:spPr>
              <a:solidFill>
                <a:srgbClr val="5b9bd5">
                  <a:alpha val="88000"/>
                </a:srgbClr>
              </a:solidFill>
              <a:ln>
                <a:solidFill>
                  <a:srgbClr val="1f4e79"/>
                </a:solidFill>
              </a:ln>
            </c:spPr>
          </c:dPt>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Pt>
            <c:idx val="5"/>
            <c:invertIfNegative val="0"/>
            <c:spPr>
              <a:solidFill>
                <a:srgbClr val="5b9bd5">
                  <a:alpha val="88000"/>
                </a:srgbClr>
              </a:solidFill>
              <a:ln>
                <a:solidFill>
                  <a:srgbClr val="1f4e79"/>
                </a:solidFill>
              </a:ln>
            </c:spPr>
          </c:dPt>
          <c:dPt>
            <c:idx val="6"/>
            <c:invertIfNegative val="0"/>
            <c:spPr>
              <a:solidFill>
                <a:srgbClr val="5b9bd5">
                  <a:alpha val="88000"/>
                </a:srgbClr>
              </a:solidFill>
              <a:ln>
                <a:solidFill>
                  <a:srgbClr val="1f4e79"/>
                </a:solidFill>
              </a:ln>
            </c:spPr>
          </c:dPt>
          <c:dPt>
            <c:idx val="7"/>
            <c:invertIfNegative val="0"/>
            <c:spPr>
              <a:solidFill>
                <a:srgbClr val="5b9bd5">
                  <a:alpha val="88000"/>
                </a:srgbClr>
              </a:solidFill>
              <a:ln>
                <a:solidFill>
                  <a:srgbClr val="1f4e79"/>
                </a:solidFill>
              </a:ln>
            </c:spPr>
          </c:dPt>
          <c:dPt>
            <c:idx val="8"/>
            <c:invertIfNegative val="0"/>
            <c:spPr>
              <a:solidFill>
                <a:srgbClr val="5b9bd5">
                  <a:alpha val="88000"/>
                </a:srgbClr>
              </a:solidFill>
              <a:ln>
                <a:solidFill>
                  <a:srgbClr val="1f4e79"/>
                </a:solidFill>
              </a:ln>
            </c:spPr>
          </c:dPt>
          <c:dPt>
            <c:idx val="9"/>
            <c:invertIfNegative val="0"/>
            <c:spPr>
              <a:solidFill>
                <a:srgbClr val="5b9bd5">
                  <a:alpha val="88000"/>
                </a:srgbClr>
              </a:solidFill>
              <a:ln>
                <a:solidFill>
                  <a:srgbClr val="1f4e79"/>
                </a:solidFill>
              </a:ln>
            </c:spPr>
          </c:dPt>
          <c:dLbls>
            <c:numFmt formatCode="0.0%" sourceLinked="1"/>
            <c:dLbl>
              <c:idx val="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5"/>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6"/>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7"/>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8"/>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9"/>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10"/>
                <c:pt idx="0">
                  <c:v>Educação</c:v>
                </c:pt>
                <c:pt idx="1">
                  <c:v>Combate à corrupção</c:v>
                </c:pt>
                <c:pt idx="2">
                  <c:v>Justiça social</c:v>
                </c:pt>
                <c:pt idx="3">
                  <c:v>Crescimento econômico</c:v>
                </c:pt>
                <c:pt idx="4">
                  <c:v>Eficiência</c:v>
                </c:pt>
                <c:pt idx="5">
                  <c:v>Democracia</c:v>
                </c:pt>
                <c:pt idx="6">
                  <c:v>Respeito à lei e à ordem</c:v>
                </c:pt>
                <c:pt idx="7">
                  <c:v>Distribuição de renda</c:v>
                </c:pt>
                <c:pt idx="8">
                  <c:v>Atender às demandas do mundo dos negócios</c:v>
                </c:pt>
                <c:pt idx="9">
                  <c:v>Outra</c:v>
                </c:pt>
              </c:strCache>
            </c:strRef>
          </c:cat>
          <c:val>
            <c:numRef>
              <c:f>0</c:f>
              <c:numCache>
                <c:formatCode>General</c:formatCode>
                <c:ptCount val="10"/>
                <c:pt idx="0">
                  <c:v>0.278</c:v>
                </c:pt>
                <c:pt idx="1">
                  <c:v>0.219</c:v>
                </c:pt>
                <c:pt idx="2">
                  <c:v>0.122</c:v>
                </c:pt>
                <c:pt idx="3">
                  <c:v>0.085</c:v>
                </c:pt>
                <c:pt idx="4">
                  <c:v>0.078</c:v>
                </c:pt>
                <c:pt idx="5">
                  <c:v>0.078</c:v>
                </c:pt>
                <c:pt idx="6">
                  <c:v>0.062</c:v>
                </c:pt>
                <c:pt idx="7">
                  <c:v>0.041</c:v>
                </c:pt>
                <c:pt idx="8">
                  <c:v>0.003</c:v>
                </c:pt>
                <c:pt idx="9">
                  <c:v>0.032</c:v>
                </c:pt>
              </c:numCache>
            </c:numRef>
          </c:val>
        </c:ser>
        <c:gapWidth val="84"/>
        <c:shape val="box"/>
        <c:axId val="24596365"/>
        <c:axId val="31512050"/>
        <c:axId val="0"/>
      </c:bar3DChart>
      <c:catAx>
        <c:axId val="24596365"/>
        <c:scaling>
          <c:orientation val="minMax"/>
        </c:scaling>
        <c:delete val="0"/>
        <c:axPos val="b"/>
        <c:numFmt formatCode="[$-416]DD/MM/YYYY" sourceLinked="1"/>
        <c:majorTickMark val="none"/>
        <c:minorTickMark val="none"/>
        <c:tickLblPos val="nextTo"/>
        <c:spPr>
          <a:ln w="6480">
            <a:noFill/>
          </a:ln>
        </c:spPr>
        <c:txPr>
          <a:bodyPr/>
          <a:lstStyle/>
          <a:p>
            <a:pPr>
              <a:defRPr b="0" sz="700" spc="-1" strike="noStrike">
                <a:solidFill>
                  <a:srgbClr val="bfbfbf"/>
                </a:solidFill>
                <a:latin typeface="Calibri"/>
              </a:defRPr>
            </a:pPr>
          </a:p>
        </c:txPr>
        <c:crossAx val="31512050"/>
        <c:crosses val="autoZero"/>
        <c:auto val="1"/>
        <c:lblAlgn val="ctr"/>
        <c:lblOffset val="100"/>
      </c:catAx>
      <c:valAx>
        <c:axId val="31512050"/>
        <c:scaling>
          <c:orientation val="minMax"/>
        </c:scaling>
        <c:delete val="1"/>
        <c:axPos val="l"/>
        <c:numFmt formatCode="0.0%"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24596365"/>
        <c:crosses val="autoZero"/>
      </c:valAx>
    </c:plotArea>
    <c:plotVisOnly val="1"/>
    <c:dispBlanksAs val="gap"/>
  </c:chart>
  <c:spPr>
    <a:solidFill>
      <a:srgbClr val="404040"/>
    </a:solidFill>
    <a:ln w="6480">
      <a:solidFill>
        <a:srgbClr val="8b8b8b"/>
      </a:solidFill>
      <a:round/>
    </a:ln>
  </c:spPr>
</c:chartSpace>
</file>

<file path=word/charts/chart44.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Pt>
            <c:idx val="4"/>
            <c:spPr>
              <a:solidFill>
                <a:srgbClr val="4472c4"/>
              </a:solidFill>
              <a:ln>
                <a:noFill/>
              </a:ln>
            </c:spPr>
          </c:dPt>
          <c:dPt>
            <c:idx val="5"/>
            <c:spPr>
              <a:solidFill>
                <a:srgbClr val="70ad47"/>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4"/>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5"/>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6"/>
                <c:pt idx="0">
                  <c:v>É o órgão de defesa dos trabalhadores</c:v>
                </c:pt>
                <c:pt idx="1">
                  <c:v>Não tem uma razão especial</c:v>
                </c:pt>
                <c:pt idx="2">
                  <c:v>O Sindicato oferece serviços úteis</c:v>
                </c:pt>
                <c:pt idx="3">
                  <c:v>O Sindicato tem uma posição combativa</c:v>
                </c:pt>
                <c:pt idx="4">
                  <c:v>Sente identificação política com a atuação do Sindicato</c:v>
                </c:pt>
                <c:pt idx="5">
                  <c:v>Outra</c:v>
                </c:pt>
              </c:strCache>
            </c:strRef>
          </c:cat>
          <c:val>
            <c:numRef>
              <c:f>0</c:f>
              <c:numCache>
                <c:formatCode>General</c:formatCode>
                <c:ptCount val="6"/>
                <c:pt idx="0">
                  <c:v>57.4</c:v>
                </c:pt>
                <c:pt idx="1">
                  <c:v>25</c:v>
                </c:pt>
                <c:pt idx="2">
                  <c:v>6.5</c:v>
                </c:pt>
                <c:pt idx="3">
                  <c:v>3.7</c:v>
                </c:pt>
                <c:pt idx="4">
                  <c:v>3.7</c:v>
                </c:pt>
                <c:pt idx="5">
                  <c:v>3.7</c:v>
                </c:pt>
              </c:numCache>
            </c:numRef>
          </c:val>
        </c:ser>
      </c:pie3DChart>
    </c:plotArea>
    <c:legend>
      <c:legendPos val="r"/>
      <c:overlay val="0"/>
      <c:spPr>
        <a:solidFill>
          <a:srgbClr val="f2f2f2">
            <a:alpha val="39000"/>
          </a:srgbClr>
        </a:solidFill>
        <a:ln>
          <a:noFill/>
        </a:ln>
      </c:spPr>
      <c:txPr>
        <a:bodyPr/>
        <a:lstStyle/>
        <a:p>
          <a:pPr>
            <a:defRPr b="0" sz="7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45.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Pt>
            <c:idx val="4"/>
            <c:spPr>
              <a:solidFill>
                <a:srgbClr val="4472c4"/>
              </a:solidFill>
              <a:ln>
                <a:noFill/>
              </a:ln>
            </c:spPr>
          </c:dPt>
          <c:dPt>
            <c:idx val="5"/>
            <c:spPr>
              <a:solidFill>
                <a:srgbClr val="70ad47"/>
              </a:solidFill>
              <a:ln>
                <a:noFill/>
              </a:ln>
            </c:spPr>
          </c:dPt>
          <c:dLbls>
            <c:numFmt formatCode="General"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4"/>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5"/>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6"/>
                <c:pt idx="0">
                  <c:v>Não tem uma razão especial</c:v>
                </c:pt>
                <c:pt idx="1">
                  <c:v>Não conhece o suficiente o SINDPD</c:v>
                </c:pt>
                <c:pt idx="2">
                  <c:v>Não acredita em atuação de sindicatos</c:v>
                </c:pt>
                <c:pt idx="3">
                  <c:v>Não vê vantagens em se associar ao SINDPD</c:v>
                </c:pt>
                <c:pt idx="4">
                  <c:v>Acha cara a mensalidade do SINDPD</c:v>
                </c:pt>
                <c:pt idx="5">
                  <c:v>Outra</c:v>
                </c:pt>
              </c:strCache>
            </c:strRef>
          </c:cat>
          <c:val>
            <c:numRef>
              <c:f>0</c:f>
              <c:numCache>
                <c:formatCode>General</c:formatCode>
                <c:ptCount val="6"/>
                <c:pt idx="0">
                  <c:v>37.8</c:v>
                </c:pt>
                <c:pt idx="1">
                  <c:v>22.3</c:v>
                </c:pt>
                <c:pt idx="2">
                  <c:v>17.3</c:v>
                </c:pt>
                <c:pt idx="3">
                  <c:v>14.3</c:v>
                </c:pt>
                <c:pt idx="4">
                  <c:v>0.2</c:v>
                </c:pt>
                <c:pt idx="5">
                  <c:v>8</c:v>
                </c:pt>
              </c:numCache>
            </c:numRef>
          </c:val>
        </c:ser>
      </c:pie3DChart>
    </c:plotArea>
    <c:legend>
      <c:legendPos val="r"/>
      <c:overlay val="0"/>
      <c:spPr>
        <a:solidFill>
          <a:srgbClr val="f2f2f2">
            <a:alpha val="39000"/>
          </a:srgbClr>
        </a:solidFill>
        <a:ln>
          <a:noFill/>
        </a:ln>
      </c:spPr>
      <c:txPr>
        <a:bodyPr/>
        <a:lstStyle/>
        <a:p>
          <a:pPr>
            <a:defRPr b="0" sz="6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4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00" spc="-1" strike="noStrike">
                <a:solidFill>
                  <a:srgbClr val="404040"/>
                </a:solidFill>
                <a:latin typeface="Calibri"/>
              </a:defRPr>
            </a:pPr>
            <a:r>
              <a:rPr b="1" sz="900" spc="-1" strike="noStrike">
                <a:solidFill>
                  <a:srgbClr val="404040"/>
                </a:solidFill>
                <a:latin typeface="Calibri"/>
              </a:rPr>
              <a:t>Lei Maria da Penha</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A favor</c:v>
                </c:pt>
                <c:pt idx="1">
                  <c:v>Contra</c:v>
                </c:pt>
                <c:pt idx="2">
                  <c:v>Não sabe</c:v>
                </c:pt>
                <c:pt idx="3">
                  <c:v>Não quer opinar</c:v>
                </c:pt>
              </c:strCache>
            </c:strRef>
          </c:cat>
          <c:val>
            <c:numRef>
              <c:f>0</c:f>
              <c:numCache>
                <c:formatCode>General</c:formatCode>
                <c:ptCount val="4"/>
                <c:pt idx="0">
                  <c:v>0.955</c:v>
                </c:pt>
                <c:pt idx="1">
                  <c:v>0.017</c:v>
                </c:pt>
                <c:pt idx="2">
                  <c:v>0.007</c:v>
                </c:pt>
                <c:pt idx="3">
                  <c:v>0.022</c:v>
                </c:pt>
              </c:numCache>
            </c:numRef>
          </c:val>
        </c:ser>
      </c:pie3DChart>
    </c:plotArea>
    <c:legend>
      <c:legendPos val="r"/>
      <c:overlay val="0"/>
      <c:spPr>
        <a:solidFill>
          <a:srgbClr val="f2f2f2">
            <a:alpha val="39000"/>
          </a:srgbClr>
        </a:solidFill>
        <a:ln>
          <a:noFill/>
        </a:ln>
      </c:spPr>
      <c:txPr>
        <a:bodyPr/>
        <a:lstStyle/>
        <a:p>
          <a:pPr>
            <a:defRPr b="0" sz="6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4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00" spc="-1" strike="noStrike">
                <a:solidFill>
                  <a:srgbClr val="404040"/>
                </a:solidFill>
                <a:latin typeface="Calibri"/>
              </a:defRPr>
            </a:pPr>
            <a:r>
              <a:rPr b="1" sz="900" spc="-1" strike="noStrike">
                <a:solidFill>
                  <a:srgbClr val="404040"/>
                </a:solidFill>
                <a:latin typeface="Calibri"/>
              </a:rPr>
              <a:t>Redução da Maioridade Penal</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A favor</c:v>
                </c:pt>
                <c:pt idx="1">
                  <c:v>Contra</c:v>
                </c:pt>
                <c:pt idx="2">
                  <c:v>Não sabe</c:v>
                </c:pt>
                <c:pt idx="3">
                  <c:v>Não quer opinar</c:v>
                </c:pt>
              </c:strCache>
            </c:strRef>
          </c:cat>
          <c:val>
            <c:numRef>
              <c:f>0</c:f>
              <c:numCache>
                <c:formatCode>General</c:formatCode>
                <c:ptCount val="4"/>
                <c:pt idx="0">
                  <c:v>0.68</c:v>
                </c:pt>
                <c:pt idx="1">
                  <c:v>0.233</c:v>
                </c:pt>
                <c:pt idx="2">
                  <c:v>0.046</c:v>
                </c:pt>
                <c:pt idx="3">
                  <c:v>0.04</c:v>
                </c:pt>
              </c:numCache>
            </c:numRef>
          </c:val>
        </c:ser>
      </c:pie3DChart>
    </c:plotArea>
    <c:legend>
      <c:legendPos val="r"/>
      <c:overlay val="0"/>
      <c:spPr>
        <a:solidFill>
          <a:srgbClr val="f2f2f2">
            <a:alpha val="39000"/>
          </a:srgbClr>
        </a:solidFill>
        <a:ln>
          <a:noFill/>
        </a:ln>
      </c:spPr>
      <c:txPr>
        <a:bodyPr/>
        <a:lstStyle/>
        <a:p>
          <a:pPr>
            <a:defRPr b="0" sz="6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48.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00" spc="-1" strike="noStrike">
                <a:solidFill>
                  <a:srgbClr val="404040"/>
                </a:solidFill>
                <a:latin typeface="Calibri"/>
              </a:defRPr>
            </a:pPr>
            <a:r>
              <a:rPr b="1" sz="900" spc="-1" strike="noStrike">
                <a:solidFill>
                  <a:srgbClr val="404040"/>
                </a:solidFill>
                <a:latin typeface="Calibri"/>
              </a:rPr>
              <a:t>A pena de morte</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A favor</c:v>
                </c:pt>
                <c:pt idx="1">
                  <c:v>Contra</c:v>
                </c:pt>
                <c:pt idx="2">
                  <c:v>Não sabe</c:v>
                </c:pt>
                <c:pt idx="3">
                  <c:v>Não quer opinar</c:v>
                </c:pt>
              </c:strCache>
            </c:strRef>
          </c:cat>
          <c:val>
            <c:numRef>
              <c:f>0</c:f>
              <c:numCache>
                <c:formatCode>General</c:formatCode>
                <c:ptCount val="4"/>
                <c:pt idx="0">
                  <c:v>0.311</c:v>
                </c:pt>
                <c:pt idx="1">
                  <c:v>0.565</c:v>
                </c:pt>
                <c:pt idx="2">
                  <c:v>0.068</c:v>
                </c:pt>
                <c:pt idx="3">
                  <c:v>0.056</c:v>
                </c:pt>
              </c:numCache>
            </c:numRef>
          </c:val>
        </c:ser>
      </c:pie3DChart>
    </c:plotArea>
    <c:legend>
      <c:legendPos val="r"/>
      <c:overlay val="0"/>
      <c:spPr>
        <a:solidFill>
          <a:srgbClr val="f2f2f2">
            <a:alpha val="39000"/>
          </a:srgbClr>
        </a:solidFill>
        <a:ln>
          <a:noFill/>
        </a:ln>
      </c:spPr>
      <c:txPr>
        <a:bodyPr/>
        <a:lstStyle/>
        <a:p>
          <a:pPr>
            <a:defRPr b="0" sz="6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4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00" spc="-1" strike="noStrike">
                <a:solidFill>
                  <a:srgbClr val="404040"/>
                </a:solidFill>
                <a:latin typeface="Calibri"/>
              </a:defRPr>
            </a:pPr>
            <a:r>
              <a:rPr b="1" sz="900" spc="-1" strike="noStrike">
                <a:solidFill>
                  <a:srgbClr val="404040"/>
                </a:solidFill>
                <a:latin typeface="Calibri"/>
              </a:rPr>
              <a:t>Cotas raciais nas universidades </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A favor</c:v>
                </c:pt>
                <c:pt idx="1">
                  <c:v>Contra</c:v>
                </c:pt>
                <c:pt idx="2">
                  <c:v>Não sabe</c:v>
                </c:pt>
                <c:pt idx="3">
                  <c:v>Não quer opinar</c:v>
                </c:pt>
              </c:strCache>
            </c:strRef>
          </c:cat>
          <c:val>
            <c:numRef>
              <c:f>0</c:f>
              <c:numCache>
                <c:formatCode>General</c:formatCode>
                <c:ptCount val="4"/>
                <c:pt idx="0">
                  <c:v>0.384</c:v>
                </c:pt>
                <c:pt idx="1">
                  <c:v>0.517</c:v>
                </c:pt>
                <c:pt idx="2">
                  <c:v>0.051</c:v>
                </c:pt>
                <c:pt idx="3">
                  <c:v>0.048</c:v>
                </c:pt>
              </c:numCache>
            </c:numRef>
          </c:val>
        </c:ser>
      </c:pie3DChart>
    </c:plotArea>
    <c:legend>
      <c:legendPos val="r"/>
      <c:overlay val="0"/>
      <c:spPr>
        <a:solidFill>
          <a:srgbClr val="f2f2f2">
            <a:alpha val="39000"/>
          </a:srgbClr>
        </a:solidFill>
        <a:ln>
          <a:noFill/>
        </a:ln>
      </c:spPr>
      <c:txPr>
        <a:bodyPr/>
        <a:lstStyle/>
        <a:p>
          <a:pPr>
            <a:defRPr b="0" sz="6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70"/>
      <c:rAngAx val="0"/>
      <c:perspective val="6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Pt>
            <c:idx val="4"/>
            <c:spPr>
              <a:solidFill>
                <a:srgbClr val="4472c4"/>
              </a:solidFill>
              <a:ln>
                <a:noFill/>
              </a:ln>
            </c:spPr>
          </c:dPt>
          <c:dPt>
            <c:idx val="5"/>
            <c:spPr>
              <a:solidFill>
                <a:srgbClr val="70ad47"/>
              </a:solidFill>
              <a:ln>
                <a:noFill/>
              </a:ln>
            </c:spPr>
          </c:dPt>
          <c:dPt>
            <c:idx val="6"/>
            <c:spPr>
              <a:solidFill>
                <a:srgbClr val="255e91"/>
              </a:solidFill>
              <a:ln>
                <a:noFill/>
              </a:ln>
            </c:spPr>
          </c:dPt>
          <c:dLbls>
            <c:numFmt formatCode="0.00%" sourceLinked="1"/>
            <c:dLbl>
              <c:idx val="0"/>
              <c:txPr>
                <a:bodyPr/>
                <a:lstStyle/>
                <a:p>
                  <a:pPr>
                    <a:defRPr b="1" sz="800" spc="-1" strike="noStrike">
                      <a:solidFill>
                        <a:srgbClr val="ffffff"/>
                      </a:solidFill>
                      <a:latin typeface="Calibri"/>
                    </a:defRPr>
                  </a:pPr>
                </a:p>
              </c:txPr>
              <c:dLblPos val="inEnd"/>
              <c:showLegendKey val="0"/>
              <c:showVal val="0"/>
              <c:showCatName val="0"/>
              <c:showSerName val="0"/>
              <c:showPercent val="1"/>
              <c:separator>
</c:separator>
            </c:dLbl>
            <c:dLbl>
              <c:idx val="1"/>
              <c:txPr>
                <a:bodyPr/>
                <a:lstStyle/>
                <a:p>
                  <a:pPr>
                    <a:defRPr b="1" sz="800" spc="-1" strike="noStrike">
                      <a:solidFill>
                        <a:srgbClr val="ffffff"/>
                      </a:solidFill>
                      <a:latin typeface="Calibri"/>
                    </a:defRPr>
                  </a:pPr>
                </a:p>
              </c:txPr>
              <c:dLblPos val="inEnd"/>
              <c:showLegendKey val="0"/>
              <c:showVal val="0"/>
              <c:showCatName val="0"/>
              <c:showSerName val="0"/>
              <c:showPercent val="1"/>
              <c:separator>
</c:separator>
            </c:dLbl>
            <c:dLbl>
              <c:idx val="2"/>
              <c:txPr>
                <a:bodyPr/>
                <a:lstStyle/>
                <a:p>
                  <a:pPr>
                    <a:defRPr b="1" sz="800" spc="-1" strike="noStrike">
                      <a:solidFill>
                        <a:srgbClr val="ffffff"/>
                      </a:solidFill>
                      <a:latin typeface="Calibri"/>
                    </a:defRPr>
                  </a:pPr>
                </a:p>
              </c:txPr>
              <c:dLblPos val="inEnd"/>
              <c:showLegendKey val="0"/>
              <c:showVal val="0"/>
              <c:showCatName val="0"/>
              <c:showSerName val="0"/>
              <c:showPercent val="1"/>
              <c:separator>
</c:separator>
            </c:dLbl>
            <c:dLbl>
              <c:idx val="3"/>
              <c:txPr>
                <a:bodyPr/>
                <a:lstStyle/>
                <a:p>
                  <a:pPr>
                    <a:defRPr b="1" sz="800" spc="-1" strike="noStrike">
                      <a:solidFill>
                        <a:srgbClr val="ffffff"/>
                      </a:solidFill>
                      <a:latin typeface="Calibri"/>
                    </a:defRPr>
                  </a:pPr>
                </a:p>
              </c:txPr>
              <c:dLblPos val="inEnd"/>
              <c:showLegendKey val="0"/>
              <c:showVal val="0"/>
              <c:showCatName val="0"/>
              <c:showSerName val="0"/>
              <c:showPercent val="1"/>
              <c:separator>
</c:separator>
            </c:dLbl>
            <c:dLbl>
              <c:idx val="4"/>
              <c:txPr>
                <a:bodyPr/>
                <a:lstStyle/>
                <a:p>
                  <a:pPr>
                    <a:defRPr b="1" sz="800" spc="-1" strike="noStrike">
                      <a:solidFill>
                        <a:srgbClr val="ffffff"/>
                      </a:solidFill>
                      <a:latin typeface="Calibri"/>
                    </a:defRPr>
                  </a:pPr>
                </a:p>
              </c:txPr>
              <c:dLblPos val="inEnd"/>
              <c:showLegendKey val="0"/>
              <c:showVal val="0"/>
              <c:showCatName val="0"/>
              <c:showSerName val="0"/>
              <c:showPercent val="1"/>
              <c:separator>
</c:separator>
            </c:dLbl>
            <c:dLbl>
              <c:idx val="5"/>
              <c:txPr>
                <a:bodyPr/>
                <a:lstStyle/>
                <a:p>
                  <a:pPr>
                    <a:defRPr b="1" sz="800" spc="-1" strike="noStrike">
                      <a:solidFill>
                        <a:srgbClr val="ffffff"/>
                      </a:solidFill>
                      <a:latin typeface="Calibri"/>
                    </a:defRPr>
                  </a:pPr>
                </a:p>
              </c:txPr>
              <c:dLblPos val="inEnd"/>
              <c:showLegendKey val="0"/>
              <c:showVal val="0"/>
              <c:showCatName val="0"/>
              <c:showSerName val="0"/>
              <c:showPercent val="1"/>
              <c:separator>
</c:separator>
            </c:dLbl>
            <c:dLbl>
              <c:idx val="6"/>
              <c:txPr>
                <a:bodyPr/>
                <a:lstStyle/>
                <a:p>
                  <a:pPr>
                    <a:defRPr b="1" sz="800" spc="-1" strike="noStrike">
                      <a:solidFill>
                        <a:srgbClr val="ffffff"/>
                      </a:solidFill>
                      <a:latin typeface="Calibri"/>
                    </a:defRPr>
                  </a:pPr>
                </a:p>
              </c:txPr>
              <c:dLblPos val="inEnd"/>
              <c:showLegendKey val="0"/>
              <c:showVal val="0"/>
              <c:showCatName val="0"/>
              <c:showSerName val="0"/>
              <c:showPercent val="1"/>
              <c:separator>
</c:separator>
            </c:dLbl>
            <c:txPr>
              <a:bodyPr/>
              <a:lstStyle/>
              <a:p>
                <a:pPr>
                  <a:defRPr b="1" sz="800" spc="-1" strike="noStrike">
                    <a:solidFill>
                      <a:srgbClr val="ffffff"/>
                    </a:solidFill>
                    <a:latin typeface="Calibri"/>
                  </a:defRPr>
                </a:pPr>
              </a:p>
            </c:txPr>
            <c:dLblPos val="inEnd"/>
            <c:showLegendKey val="0"/>
            <c:showVal val="0"/>
            <c:showCatName val="0"/>
            <c:showSerName val="0"/>
            <c:showPercent val="1"/>
            <c:separator>
</c:separator>
            <c:showLeaderLines val="0"/>
          </c:dLbls>
          <c:cat>
            <c:strRef>
              <c:f>categories</c:f>
              <c:strCache>
                <c:ptCount val="7"/>
                <c:pt idx="0">
                  <c:v>De 17 a 20 anos</c:v>
                </c:pt>
                <c:pt idx="1">
                  <c:v>De 21 a 25 anos</c:v>
                </c:pt>
                <c:pt idx="2">
                  <c:v>De 26 a 35 anos</c:v>
                </c:pt>
                <c:pt idx="3">
                  <c:v>De 36 a 45 anos</c:v>
                </c:pt>
                <c:pt idx="4">
                  <c:v>De 46 a 55 anos</c:v>
                </c:pt>
                <c:pt idx="5">
                  <c:v>De 56 a 60 anos</c:v>
                </c:pt>
                <c:pt idx="6">
                  <c:v>Mais de 61 anos</c:v>
                </c:pt>
              </c:strCache>
            </c:strRef>
          </c:cat>
          <c:val>
            <c:numRef>
              <c:f>0</c:f>
              <c:numCache>
                <c:formatCode>General</c:formatCode>
                <c:ptCount val="7"/>
                <c:pt idx="0">
                  <c:v>0.022</c:v>
                </c:pt>
                <c:pt idx="1">
                  <c:v>0.171</c:v>
                </c:pt>
                <c:pt idx="2">
                  <c:v>0.475</c:v>
                </c:pt>
                <c:pt idx="3">
                  <c:v>0.171</c:v>
                </c:pt>
                <c:pt idx="4">
                  <c:v>0.091</c:v>
                </c:pt>
                <c:pt idx="5">
                  <c:v>0.041</c:v>
                </c:pt>
                <c:pt idx="6">
                  <c:v>0.03</c:v>
                </c:pt>
              </c:numCache>
            </c:numRef>
          </c:val>
        </c:ser>
      </c:pie3DChart>
    </c:plotArea>
    <c:legend>
      <c:legendPos val="b"/>
      <c:overlay val="0"/>
      <c:spPr>
        <a:solidFill>
          <a:srgbClr val="ffffff">
            <a:alpha val="78000"/>
          </a:srgbClr>
        </a:solidFill>
        <a:ln>
          <a:noFill/>
        </a:ln>
      </c:spPr>
      <c:txPr>
        <a:bodyPr/>
        <a:lstStyle/>
        <a:p>
          <a:pPr>
            <a:defRPr b="0" sz="800" spc="-1" strike="noStrike">
              <a:solidFill>
                <a:srgbClr val="595959"/>
              </a:solidFill>
              <a:latin typeface="Calibri"/>
            </a:defRPr>
          </a:pPr>
        </a:p>
      </c:txPr>
    </c:legend>
    <c:plotVisOnly val="1"/>
    <c:dispBlanksAs val="gap"/>
  </c:chart>
  <c:spPr>
    <a:pattFill prst="ltDnDiag">
      <a:fgClr>
        <a:srgbClr val="f2f2f2"/>
      </a:fgClr>
      <a:bgClr>
        <a:srgbClr val="ffffff"/>
      </a:bgClr>
    </a:pattFill>
    <a:ln w="9360">
      <a:solidFill>
        <a:srgbClr val="d9d9d9"/>
      </a:solidFill>
      <a:round/>
    </a:ln>
  </c:spPr>
</c:chartSpace>
</file>

<file path=word/charts/chart50.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00" spc="-1" strike="noStrike">
                <a:solidFill>
                  <a:srgbClr val="404040"/>
                </a:solidFill>
                <a:latin typeface="Calibri"/>
              </a:defRPr>
            </a:pPr>
            <a:r>
              <a:rPr b="1" sz="900" spc="-1" strike="noStrike">
                <a:solidFill>
                  <a:srgbClr val="404040"/>
                </a:solidFill>
                <a:latin typeface="Calibri"/>
              </a:rPr>
              <a:t>Cotas para alunos de escolas públicas</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A favor</c:v>
                </c:pt>
                <c:pt idx="1">
                  <c:v>Contra</c:v>
                </c:pt>
                <c:pt idx="2">
                  <c:v>Não sabe</c:v>
                </c:pt>
                <c:pt idx="3">
                  <c:v>Não quer opinar</c:v>
                </c:pt>
              </c:strCache>
            </c:strRef>
          </c:cat>
          <c:val>
            <c:numRef>
              <c:f>0</c:f>
              <c:numCache>
                <c:formatCode>General</c:formatCode>
                <c:ptCount val="4"/>
                <c:pt idx="0">
                  <c:v>0.714</c:v>
                </c:pt>
                <c:pt idx="1">
                  <c:v>0.243</c:v>
                </c:pt>
                <c:pt idx="2">
                  <c:v>0.015</c:v>
                </c:pt>
                <c:pt idx="3">
                  <c:v>0.028</c:v>
                </c:pt>
              </c:numCache>
            </c:numRef>
          </c:val>
        </c:ser>
      </c:pie3DChart>
    </c:plotArea>
    <c:legend>
      <c:legendPos val="r"/>
      <c:overlay val="0"/>
      <c:spPr>
        <a:solidFill>
          <a:srgbClr val="f2f2f2">
            <a:alpha val="39000"/>
          </a:srgbClr>
        </a:solidFill>
        <a:ln>
          <a:noFill/>
        </a:ln>
      </c:spPr>
      <c:txPr>
        <a:bodyPr/>
        <a:lstStyle/>
        <a:p>
          <a:pPr>
            <a:defRPr b="0" sz="6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5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00" spc="-1" strike="noStrike">
                <a:solidFill>
                  <a:srgbClr val="404040"/>
                </a:solidFill>
                <a:latin typeface="Calibri"/>
              </a:defRPr>
            </a:pPr>
            <a:r>
              <a:rPr b="1" sz="900" spc="-1" strike="noStrike">
                <a:solidFill>
                  <a:srgbClr val="404040"/>
                </a:solidFill>
                <a:latin typeface="Calibri"/>
              </a:rPr>
              <a:t>A Reforma da Previdência em curso</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A favor</c:v>
                </c:pt>
                <c:pt idx="1">
                  <c:v>Contra</c:v>
                </c:pt>
                <c:pt idx="2">
                  <c:v>Não sabe</c:v>
                </c:pt>
                <c:pt idx="3">
                  <c:v>Não quer opinar</c:v>
                </c:pt>
              </c:strCache>
            </c:strRef>
          </c:cat>
          <c:val>
            <c:numRef>
              <c:f>0</c:f>
              <c:numCache>
                <c:formatCode>General</c:formatCode>
                <c:ptCount val="4"/>
                <c:pt idx="0">
                  <c:v>0.195</c:v>
                </c:pt>
                <c:pt idx="1">
                  <c:v>0.661</c:v>
                </c:pt>
                <c:pt idx="2">
                  <c:v>0.091</c:v>
                </c:pt>
                <c:pt idx="3">
                  <c:v>0.053</c:v>
                </c:pt>
              </c:numCache>
            </c:numRef>
          </c:val>
        </c:ser>
      </c:pie3DChart>
    </c:plotArea>
    <c:legend>
      <c:legendPos val="r"/>
      <c:overlay val="0"/>
      <c:spPr>
        <a:solidFill>
          <a:srgbClr val="f2f2f2">
            <a:alpha val="39000"/>
          </a:srgbClr>
        </a:solidFill>
        <a:ln>
          <a:noFill/>
        </a:ln>
      </c:spPr>
      <c:txPr>
        <a:bodyPr/>
        <a:lstStyle/>
        <a:p>
          <a:pPr>
            <a:defRPr b="0" sz="6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5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00" spc="-1" strike="noStrike">
                <a:solidFill>
                  <a:srgbClr val="404040"/>
                </a:solidFill>
                <a:latin typeface="Calibri"/>
              </a:defRPr>
            </a:pPr>
            <a:r>
              <a:rPr b="1" sz="900" spc="-1" strike="noStrike">
                <a:solidFill>
                  <a:srgbClr val="404040"/>
                </a:solidFill>
                <a:latin typeface="Calibri"/>
              </a:rPr>
              <a:t>A Reforma Trabalhista em Curso </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A favor</c:v>
                </c:pt>
                <c:pt idx="1">
                  <c:v>Contra</c:v>
                </c:pt>
                <c:pt idx="2">
                  <c:v>Não sabe</c:v>
                </c:pt>
                <c:pt idx="3">
                  <c:v>Não quer opinar</c:v>
                </c:pt>
              </c:strCache>
            </c:strRef>
          </c:cat>
          <c:val>
            <c:numRef>
              <c:f>0</c:f>
              <c:numCache>
                <c:formatCode>General</c:formatCode>
                <c:ptCount val="4"/>
                <c:pt idx="0">
                  <c:v>0.24</c:v>
                </c:pt>
                <c:pt idx="1">
                  <c:v>0.637</c:v>
                </c:pt>
                <c:pt idx="2">
                  <c:v>0.07</c:v>
                </c:pt>
                <c:pt idx="3">
                  <c:v>0.053</c:v>
                </c:pt>
              </c:numCache>
            </c:numRef>
          </c:val>
        </c:ser>
      </c:pie3DChart>
    </c:plotArea>
    <c:legend>
      <c:legendPos val="r"/>
      <c:overlay val="0"/>
      <c:spPr>
        <a:solidFill>
          <a:srgbClr val="f2f2f2">
            <a:alpha val="39000"/>
          </a:srgbClr>
        </a:solidFill>
        <a:ln>
          <a:noFill/>
        </a:ln>
      </c:spPr>
      <c:txPr>
        <a:bodyPr/>
        <a:lstStyle/>
        <a:p>
          <a:pPr>
            <a:defRPr b="0" sz="6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5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00" spc="-1" strike="noStrike">
                <a:solidFill>
                  <a:srgbClr val="404040"/>
                </a:solidFill>
                <a:latin typeface="Calibri"/>
              </a:defRPr>
            </a:pPr>
            <a:r>
              <a:rPr b="1" sz="900" spc="-1" strike="noStrike">
                <a:solidFill>
                  <a:srgbClr val="404040"/>
                </a:solidFill>
                <a:latin typeface="Calibri"/>
              </a:rPr>
              <a:t>A privatização da Petrobrás</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A favor</c:v>
                </c:pt>
                <c:pt idx="1">
                  <c:v>Contra</c:v>
                </c:pt>
                <c:pt idx="2">
                  <c:v>Não sabe</c:v>
                </c:pt>
                <c:pt idx="3">
                  <c:v>Não quer opinar</c:v>
                </c:pt>
              </c:strCache>
            </c:strRef>
          </c:cat>
          <c:val>
            <c:numRef>
              <c:f>0</c:f>
              <c:numCache>
                <c:formatCode>General</c:formatCode>
                <c:ptCount val="4"/>
                <c:pt idx="0">
                  <c:v>0.293</c:v>
                </c:pt>
                <c:pt idx="1">
                  <c:v>0.546</c:v>
                </c:pt>
                <c:pt idx="2">
                  <c:v>0.099</c:v>
                </c:pt>
                <c:pt idx="3">
                  <c:v>0.061</c:v>
                </c:pt>
              </c:numCache>
            </c:numRef>
          </c:val>
        </c:ser>
      </c:pie3DChart>
    </c:plotArea>
    <c:legend>
      <c:legendPos val="r"/>
      <c:overlay val="0"/>
      <c:spPr>
        <a:solidFill>
          <a:srgbClr val="f2f2f2">
            <a:alpha val="39000"/>
          </a:srgbClr>
        </a:solidFill>
        <a:ln>
          <a:noFill/>
        </a:ln>
      </c:spPr>
      <c:txPr>
        <a:bodyPr/>
        <a:lstStyle/>
        <a:p>
          <a:pPr>
            <a:defRPr b="0" sz="6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5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00" spc="-1" strike="noStrike">
                <a:solidFill>
                  <a:srgbClr val="404040"/>
                </a:solidFill>
                <a:latin typeface="Calibri"/>
              </a:defRPr>
            </a:pPr>
            <a:r>
              <a:rPr b="1" sz="900" spc="-1" strike="noStrike">
                <a:solidFill>
                  <a:srgbClr val="404040"/>
                </a:solidFill>
                <a:latin typeface="Calibri"/>
              </a:rPr>
              <a:t>Direito de aborto em quadro de risco para a mãe </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A favor</c:v>
                </c:pt>
                <c:pt idx="1">
                  <c:v>Contra</c:v>
                </c:pt>
                <c:pt idx="2">
                  <c:v>Não sabe</c:v>
                </c:pt>
                <c:pt idx="3">
                  <c:v>Não quer opinar</c:v>
                </c:pt>
              </c:strCache>
            </c:strRef>
          </c:cat>
          <c:val>
            <c:numRef>
              <c:f>0</c:f>
              <c:numCache>
                <c:formatCode>General</c:formatCode>
                <c:ptCount val="4"/>
                <c:pt idx="0">
                  <c:v>0.738</c:v>
                </c:pt>
                <c:pt idx="1">
                  <c:v>0.129</c:v>
                </c:pt>
                <c:pt idx="2">
                  <c:v>0.055</c:v>
                </c:pt>
                <c:pt idx="3">
                  <c:v>0.078</c:v>
                </c:pt>
              </c:numCache>
            </c:numRef>
          </c:val>
        </c:ser>
      </c:pie3DChart>
    </c:plotArea>
    <c:legend>
      <c:legendPos val="r"/>
      <c:overlay val="0"/>
      <c:spPr>
        <a:solidFill>
          <a:srgbClr val="f2f2f2">
            <a:alpha val="39000"/>
          </a:srgbClr>
        </a:solidFill>
        <a:ln>
          <a:noFill/>
        </a:ln>
      </c:spPr>
      <c:txPr>
        <a:bodyPr/>
        <a:lstStyle/>
        <a:p>
          <a:pPr>
            <a:defRPr b="0" sz="6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5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00" spc="-1" strike="noStrike">
                <a:solidFill>
                  <a:srgbClr val="404040"/>
                </a:solidFill>
                <a:latin typeface="Calibri"/>
              </a:defRPr>
            </a:pPr>
            <a:r>
              <a:rPr b="1" sz="900" spc="-1" strike="noStrike">
                <a:solidFill>
                  <a:srgbClr val="404040"/>
                </a:solidFill>
                <a:latin typeface="Calibri"/>
              </a:rPr>
              <a:t>Direito de aborto em caso de estupro</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A favor</c:v>
                </c:pt>
                <c:pt idx="1">
                  <c:v>Contra</c:v>
                </c:pt>
                <c:pt idx="2">
                  <c:v>Não sabe</c:v>
                </c:pt>
                <c:pt idx="3">
                  <c:v>Não quer opinar</c:v>
                </c:pt>
              </c:strCache>
            </c:strRef>
          </c:cat>
          <c:val>
            <c:numRef>
              <c:f>0</c:f>
              <c:numCache>
                <c:formatCode>General</c:formatCode>
                <c:ptCount val="4"/>
                <c:pt idx="0">
                  <c:v>0.732</c:v>
                </c:pt>
                <c:pt idx="1">
                  <c:v>0.139</c:v>
                </c:pt>
                <c:pt idx="2">
                  <c:v>0.051</c:v>
                </c:pt>
                <c:pt idx="3">
                  <c:v>0.078</c:v>
                </c:pt>
              </c:numCache>
            </c:numRef>
          </c:val>
        </c:ser>
      </c:pie3DChart>
    </c:plotArea>
    <c:legend>
      <c:legendPos val="r"/>
      <c:overlay val="0"/>
      <c:spPr>
        <a:solidFill>
          <a:srgbClr val="f2f2f2">
            <a:alpha val="39000"/>
          </a:srgbClr>
        </a:solidFill>
        <a:ln>
          <a:noFill/>
        </a:ln>
      </c:spPr>
      <c:txPr>
        <a:bodyPr/>
        <a:lstStyle/>
        <a:p>
          <a:pPr>
            <a:defRPr b="0" sz="4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5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00" spc="-1" strike="noStrike">
                <a:solidFill>
                  <a:srgbClr val="404040"/>
                </a:solidFill>
                <a:latin typeface="Calibri"/>
              </a:defRPr>
            </a:pPr>
            <a:r>
              <a:rPr b="1" sz="900" spc="-1" strike="noStrike">
                <a:solidFill>
                  <a:srgbClr val="404040"/>
                </a:solidFill>
                <a:latin typeface="Calibri"/>
              </a:rPr>
              <a:t>A liberalização da maconha para fins medicinais</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A favor</c:v>
                </c:pt>
                <c:pt idx="1">
                  <c:v>Contra</c:v>
                </c:pt>
                <c:pt idx="2">
                  <c:v>Não sabe</c:v>
                </c:pt>
                <c:pt idx="3">
                  <c:v>Não quer opinar</c:v>
                </c:pt>
              </c:strCache>
            </c:strRef>
          </c:cat>
          <c:val>
            <c:numRef>
              <c:f>0</c:f>
              <c:numCache>
                <c:formatCode>General</c:formatCode>
                <c:ptCount val="4"/>
                <c:pt idx="0">
                  <c:v>0.844</c:v>
                </c:pt>
                <c:pt idx="1">
                  <c:v>0.106</c:v>
                </c:pt>
                <c:pt idx="2">
                  <c:v>0.031</c:v>
                </c:pt>
                <c:pt idx="3">
                  <c:v>0.018</c:v>
                </c:pt>
              </c:numCache>
            </c:numRef>
          </c:val>
        </c:ser>
      </c:pie3DChart>
    </c:plotArea>
    <c:legend>
      <c:legendPos val="r"/>
      <c:overlay val="0"/>
      <c:spPr>
        <a:solidFill>
          <a:srgbClr val="f2f2f2">
            <a:alpha val="39000"/>
          </a:srgbClr>
        </a:solidFill>
        <a:ln>
          <a:noFill/>
        </a:ln>
      </c:spPr>
      <c:txPr>
        <a:bodyPr/>
        <a:lstStyle/>
        <a:p>
          <a:pPr>
            <a:defRPr b="0" sz="6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5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800" spc="-1" strike="noStrike">
                <a:solidFill>
                  <a:srgbClr val="404040"/>
                </a:solidFill>
                <a:latin typeface="Calibri"/>
              </a:defRPr>
            </a:pPr>
            <a:r>
              <a:rPr b="1" sz="800" spc="-1" strike="noStrike">
                <a:solidFill>
                  <a:srgbClr val="404040"/>
                </a:solidFill>
                <a:latin typeface="Calibri"/>
              </a:rPr>
              <a:t>Direito de casamento entre pessoas do mesmo sexo</a:t>
            </a:r>
          </a:p>
        </c:rich>
      </c:tx>
      <c:overlay val="0"/>
      <c:spPr>
        <a:noFill/>
        <a:ln>
          <a:noFill/>
        </a:ln>
      </c:spPr>
    </c:title>
    <c:autoTitleDeleted val="0"/>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layout>
        <c:manualLayout>
          <c:layoutTarget val="inner"/>
          <c:xMode val="edge"/>
          <c:yMode val="edge"/>
          <c:x val="0.02775"/>
          <c:y val="0.250111111111111"/>
          <c:w val="0.67375"/>
          <c:h val="0.708222222222222"/>
        </c:manualLayout>
      </c:layout>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4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A favor</c:v>
                </c:pt>
                <c:pt idx="1">
                  <c:v>Contra</c:v>
                </c:pt>
                <c:pt idx="2">
                  <c:v>Não sabe</c:v>
                </c:pt>
                <c:pt idx="3">
                  <c:v>Não quer opinar</c:v>
                </c:pt>
              </c:strCache>
            </c:strRef>
          </c:cat>
          <c:val>
            <c:numRef>
              <c:f>0</c:f>
              <c:numCache>
                <c:formatCode>General</c:formatCode>
                <c:ptCount val="4"/>
                <c:pt idx="0">
                  <c:v>0.689</c:v>
                </c:pt>
                <c:pt idx="1">
                  <c:v>0.197</c:v>
                </c:pt>
                <c:pt idx="2">
                  <c:v>0.026</c:v>
                </c:pt>
                <c:pt idx="3">
                  <c:v>0.088</c:v>
                </c:pt>
              </c:numCache>
            </c:numRef>
          </c:val>
        </c:ser>
      </c:pie3DChart>
    </c:plotArea>
    <c:legend>
      <c:legendPos val="r"/>
      <c:overlay val="0"/>
      <c:spPr>
        <a:solidFill>
          <a:srgbClr val="f2f2f2">
            <a:alpha val="39000"/>
          </a:srgbClr>
        </a:solidFill>
        <a:ln>
          <a:noFill/>
        </a:ln>
      </c:spPr>
      <c:txPr>
        <a:bodyPr/>
        <a:lstStyle/>
        <a:p>
          <a:pPr>
            <a:defRPr b="0" sz="6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58.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6480">
          <a:noFill/>
        </a:ln>
      </c:spPr>
    </c:floor>
    <c:sideWall>
      <c:spPr>
        <a:noFill/>
        <a:ln w="6480">
          <a:noFill/>
        </a:ln>
      </c:spPr>
    </c:sideWall>
    <c:backWall>
      <c:spPr>
        <a:noFill/>
        <a:ln w="6480">
          <a:noFill/>
        </a:ln>
      </c:spPr>
    </c:backWall>
    <c:plotArea>
      <c:bar3DChart>
        <c:barDir val="col"/>
        <c:grouping val="stacked"/>
        <c:varyColors val="0"/>
        <c:ser>
          <c:idx val="0"/>
          <c:order val="0"/>
          <c:tx>
            <c:strRef>
              <c:f>label 0</c:f>
              <c:strCache>
                <c:ptCount val="1"/>
                <c:pt idx="0">
                  <c:v/>
                </c:pt>
              </c:strCache>
            </c:strRef>
          </c:tx>
          <c:spPr>
            <a:solidFill>
              <a:srgbClr val="5b9bd5"/>
            </a:solidFill>
            <a:ln>
              <a:noFill/>
            </a:ln>
          </c:spPr>
          <c:invertIfNegative val="0"/>
          <c:dLbls>
            <c:numFmt formatCode="General" sourceLinked="1"/>
            <c:txPr>
              <a:bodyPr/>
              <a:lstStyle/>
              <a:p>
                <a:pPr>
                  <a:defRPr b="1" sz="8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Muito Baixo</c:v>
                </c:pt>
                <c:pt idx="1">
                  <c:v>Baixo</c:v>
                </c:pt>
                <c:pt idx="2">
                  <c:v>Médio</c:v>
                </c:pt>
                <c:pt idx="3">
                  <c:v>Alto</c:v>
                </c:pt>
                <c:pt idx="4">
                  <c:v>Muito Alto</c:v>
                </c:pt>
              </c:strCache>
            </c:strRef>
          </c:cat>
          <c:val>
            <c:numRef>
              <c:f>0</c:f>
              <c:numCache>
                <c:formatCode>General</c:formatCode>
                <c:ptCount val="5"/>
                <c:pt idx="0">
                  <c:v>7.1</c:v>
                </c:pt>
                <c:pt idx="1">
                  <c:v>15.6</c:v>
                </c:pt>
                <c:pt idx="2">
                  <c:v>20.4</c:v>
                </c:pt>
                <c:pt idx="3">
                  <c:v>23.4</c:v>
                </c:pt>
                <c:pt idx="4">
                  <c:v>33.5</c:v>
                </c:pt>
              </c:numCache>
            </c:numRef>
          </c:val>
        </c:ser>
        <c:gapWidth val="79"/>
        <c:shape val="box"/>
        <c:axId val="58969974"/>
        <c:axId val="47661418"/>
        <c:axId val="0"/>
      </c:bar3DChart>
      <c:catAx>
        <c:axId val="58969974"/>
        <c:scaling>
          <c:orientation val="minMax"/>
        </c:scaling>
        <c:delete val="0"/>
        <c:axPos val="b"/>
        <c:majorGridlines>
          <c:spPr>
            <a:ln w="9360">
              <a:solidFill>
                <a:srgbClr val="d9d9d9"/>
              </a:solidFill>
              <a:round/>
            </a:ln>
          </c:spPr>
        </c:majorGridlines>
        <c:numFmt formatCode="[$-416]DD/MM/YYYY"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47661418"/>
        <c:crosses val="autoZero"/>
        <c:auto val="1"/>
        <c:lblAlgn val="ctr"/>
        <c:lblOffset val="100"/>
      </c:catAx>
      <c:valAx>
        <c:axId val="47661418"/>
        <c:scaling>
          <c:orientation val="minMax"/>
        </c:scaling>
        <c:delete val="1"/>
        <c:axPos val="l"/>
        <c:numFmt formatCode="General"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58969974"/>
        <c:crosses val="autoZero"/>
      </c:valAx>
    </c:plotArea>
    <c:plotVisOnly val="1"/>
    <c:dispBlanksAs val="gap"/>
  </c:chart>
  <c:spPr>
    <a:solidFill>
      <a:srgbClr val="ffffff"/>
    </a:solidFill>
    <a:ln w="9360">
      <a:solidFill>
        <a:srgbClr val="d9d9d9"/>
      </a:solidFill>
      <a:round/>
    </a:ln>
  </c:spPr>
</c:chartSpace>
</file>

<file path=word/charts/chart59.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col"/>
        <c:grouping val="clustered"/>
        <c:varyColors val="0"/>
        <c:ser>
          <c:idx val="0"/>
          <c:order val="0"/>
          <c:tx>
            <c:strRef>
              <c:f>label 0</c:f>
              <c:strCache>
                <c:ptCount val="1"/>
                <c:pt idx="0">
                  <c:v>Privada</c:v>
                </c:pt>
              </c:strCache>
            </c:strRef>
          </c:tx>
          <c:spPr>
            <a:solidFill>
              <a:srgbClr val="5b9bd5">
                <a:alpha val="88000"/>
              </a:srgbClr>
            </a:solidFill>
            <a:ln>
              <a:solidFill>
                <a:srgbClr val="1f4e79"/>
              </a:solidFill>
            </a:ln>
          </c:spPr>
          <c:invertIfNegative val="0"/>
          <c:dPt>
            <c:idx val="0"/>
            <c:invertIfNegative val="0"/>
            <c:spPr>
              <a:solidFill>
                <a:srgbClr val="5b9bd5">
                  <a:alpha val="88000"/>
                </a:srgbClr>
              </a:solidFill>
              <a:ln>
                <a:solidFill>
                  <a:srgbClr val="1f4e79"/>
                </a:solidFill>
              </a:ln>
            </c:spPr>
          </c:dPt>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Lbls>
            <c:numFmt formatCode="General" sourceLinked="1"/>
            <c:dLbl>
              <c:idx val="0"/>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600" spc="-1" strike="noStrike">
                      <a:solidFill>
                        <a:srgbClr val="ffffff"/>
                      </a:solidFill>
                      <a:latin typeface="Calibri"/>
                    </a:defRPr>
                  </a:pPr>
                </a:p>
              </c:txPr>
              <c:showLegendKey val="0"/>
              <c:showVal val="1"/>
              <c:showCatName val="0"/>
              <c:showSerName val="0"/>
              <c:showPercent val="0"/>
              <c:separator>; </c:separator>
            </c:dLbl>
            <c:txPr>
              <a:bodyPr/>
              <a:lstStyle/>
              <a:p>
                <a:pPr>
                  <a:defRPr b="1" sz="6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Muito Baixo</c:v>
                </c:pt>
                <c:pt idx="1">
                  <c:v>Baixo</c:v>
                </c:pt>
                <c:pt idx="2">
                  <c:v>Médio</c:v>
                </c:pt>
                <c:pt idx="3">
                  <c:v>Alto</c:v>
                </c:pt>
                <c:pt idx="4">
                  <c:v>Muito Alto</c:v>
                </c:pt>
              </c:strCache>
            </c:strRef>
          </c:cat>
          <c:val>
            <c:numRef>
              <c:f>0</c:f>
              <c:numCache>
                <c:formatCode>General</c:formatCode>
                <c:ptCount val="5"/>
                <c:pt idx="0">
                  <c:v>7.7</c:v>
                </c:pt>
                <c:pt idx="1">
                  <c:v>17</c:v>
                </c:pt>
                <c:pt idx="2">
                  <c:v>18.5</c:v>
                </c:pt>
                <c:pt idx="3">
                  <c:v>23.4</c:v>
                </c:pt>
                <c:pt idx="4">
                  <c:v>33.4</c:v>
                </c:pt>
              </c:numCache>
            </c:numRef>
          </c:val>
        </c:ser>
        <c:ser>
          <c:idx val="1"/>
          <c:order val="1"/>
          <c:tx>
            <c:strRef>
              <c:f>label 1</c:f>
              <c:strCache>
                <c:ptCount val="1"/>
                <c:pt idx="0">
                  <c:v>Pública</c:v>
                </c:pt>
              </c:strCache>
            </c:strRef>
          </c:tx>
          <c:spPr>
            <a:solidFill>
              <a:srgbClr val="ed7d31">
                <a:alpha val="88000"/>
              </a:srgbClr>
            </a:solidFill>
            <a:ln>
              <a:solidFill>
                <a:srgbClr val="843c0b"/>
              </a:solidFill>
            </a:ln>
          </c:spPr>
          <c:invertIfNegative val="0"/>
          <c:dPt>
            <c:idx val="0"/>
            <c:invertIfNegative val="0"/>
            <c:spPr>
              <a:solidFill>
                <a:srgbClr val="ed7d31">
                  <a:alpha val="88000"/>
                </a:srgbClr>
              </a:solidFill>
              <a:ln>
                <a:solidFill>
                  <a:srgbClr val="843c0b"/>
                </a:solidFill>
              </a:ln>
            </c:spPr>
          </c:dPt>
          <c:dPt>
            <c:idx val="1"/>
            <c:invertIfNegative val="0"/>
            <c:spPr>
              <a:solidFill>
                <a:srgbClr val="ed7d31">
                  <a:alpha val="88000"/>
                </a:srgbClr>
              </a:solidFill>
              <a:ln>
                <a:solidFill>
                  <a:srgbClr val="843c0b"/>
                </a:solidFill>
              </a:ln>
            </c:spPr>
          </c:dPt>
          <c:dPt>
            <c:idx val="2"/>
            <c:invertIfNegative val="0"/>
            <c:spPr>
              <a:solidFill>
                <a:srgbClr val="ed7d31">
                  <a:alpha val="88000"/>
                </a:srgbClr>
              </a:solidFill>
              <a:ln>
                <a:solidFill>
                  <a:srgbClr val="843c0b"/>
                </a:solidFill>
              </a:ln>
            </c:spPr>
          </c:dPt>
          <c:dPt>
            <c:idx val="3"/>
            <c:invertIfNegative val="0"/>
            <c:spPr>
              <a:solidFill>
                <a:srgbClr val="ed7d31">
                  <a:alpha val="88000"/>
                </a:srgbClr>
              </a:solidFill>
              <a:ln>
                <a:solidFill>
                  <a:srgbClr val="843c0b"/>
                </a:solidFill>
              </a:ln>
            </c:spPr>
          </c:dPt>
          <c:dPt>
            <c:idx val="4"/>
            <c:invertIfNegative val="0"/>
            <c:spPr>
              <a:solidFill>
                <a:srgbClr val="ed7d31">
                  <a:alpha val="88000"/>
                </a:srgbClr>
              </a:solidFill>
              <a:ln>
                <a:solidFill>
                  <a:srgbClr val="843c0b"/>
                </a:solidFill>
              </a:ln>
            </c:spPr>
          </c:dPt>
          <c:dLbls>
            <c:numFmt formatCode="General" sourceLinked="1"/>
            <c:dLbl>
              <c:idx val="0"/>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600" spc="-1" strike="noStrike">
                      <a:solidFill>
                        <a:srgbClr val="ffffff"/>
                      </a:solidFill>
                      <a:latin typeface="Calibri"/>
                    </a:defRPr>
                  </a:pPr>
                </a:p>
              </c:txPr>
              <c:showLegendKey val="0"/>
              <c:showVal val="1"/>
              <c:showCatName val="0"/>
              <c:showSerName val="0"/>
              <c:showPercent val="0"/>
              <c:separator>; </c:separator>
            </c:dLbl>
            <c:txPr>
              <a:bodyPr/>
              <a:lstStyle/>
              <a:p>
                <a:pPr>
                  <a:defRPr b="1" sz="6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Muito Baixo</c:v>
                </c:pt>
                <c:pt idx="1">
                  <c:v>Baixo</c:v>
                </c:pt>
                <c:pt idx="2">
                  <c:v>Médio</c:v>
                </c:pt>
                <c:pt idx="3">
                  <c:v>Alto</c:v>
                </c:pt>
                <c:pt idx="4">
                  <c:v>Muito Alto</c:v>
                </c:pt>
              </c:strCache>
            </c:strRef>
          </c:cat>
          <c:val>
            <c:numRef>
              <c:f>1</c:f>
              <c:numCache>
                <c:formatCode>General</c:formatCode>
                <c:ptCount val="5"/>
                <c:pt idx="0">
                  <c:v>3.5</c:v>
                </c:pt>
                <c:pt idx="1">
                  <c:v>7.1</c:v>
                </c:pt>
                <c:pt idx="2">
                  <c:v>31.8</c:v>
                </c:pt>
                <c:pt idx="3">
                  <c:v>23.5</c:v>
                </c:pt>
                <c:pt idx="4">
                  <c:v>34.1</c:v>
                </c:pt>
              </c:numCache>
            </c:numRef>
          </c:val>
        </c:ser>
        <c:gapWidth val="84"/>
        <c:shape val="box"/>
        <c:axId val="48611532"/>
        <c:axId val="32562156"/>
        <c:axId val="0"/>
      </c:bar3DChart>
      <c:catAx>
        <c:axId val="48611532"/>
        <c:scaling>
          <c:orientation val="minMax"/>
        </c:scaling>
        <c:delete val="0"/>
        <c:axPos val="b"/>
        <c:numFmt formatCode="[$-416]DD/MM/YYYY" sourceLinked="1"/>
        <c:majorTickMark val="none"/>
        <c:minorTickMark val="none"/>
        <c:tickLblPos val="nextTo"/>
        <c:spPr>
          <a:ln w="6480">
            <a:noFill/>
          </a:ln>
        </c:spPr>
        <c:txPr>
          <a:bodyPr/>
          <a:lstStyle/>
          <a:p>
            <a:pPr>
              <a:defRPr b="0" sz="900" spc="-1" strike="noStrike">
                <a:solidFill>
                  <a:srgbClr val="bfbfbf"/>
                </a:solidFill>
                <a:latin typeface="Calibri"/>
              </a:defRPr>
            </a:pPr>
          </a:p>
        </c:txPr>
        <c:crossAx val="32562156"/>
        <c:crosses val="autoZero"/>
        <c:auto val="1"/>
        <c:lblAlgn val="ctr"/>
        <c:lblOffset val="100"/>
      </c:catAx>
      <c:valAx>
        <c:axId val="32562156"/>
        <c:scaling>
          <c:orientation val="minMax"/>
        </c:scaling>
        <c:delete val="1"/>
        <c:axPos val="l"/>
        <c:numFmt formatCode="General"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48611532"/>
        <c:crosses val="autoZero"/>
      </c:valAx>
    </c:plotArea>
    <c:legend>
      <c:legendPos val="t"/>
      <c:overlay val="0"/>
      <c:spPr>
        <a:noFill/>
        <a:ln>
          <a:noFill/>
        </a:ln>
      </c:spPr>
      <c:txPr>
        <a:bodyPr/>
        <a:lstStyle/>
        <a:p>
          <a:pPr>
            <a:defRPr b="0" sz="900" spc="-1" strike="noStrike">
              <a:solidFill>
                <a:srgbClr val="bfbfbf"/>
              </a:solidFill>
              <a:latin typeface="Calibri"/>
            </a:defRPr>
          </a:pPr>
        </a:p>
      </c:txPr>
    </c:legend>
    <c:plotVisOnly val="1"/>
    <c:dispBlanksAs val="gap"/>
  </c:chart>
  <c:spPr>
    <a:solidFill>
      <a:srgbClr val="404040"/>
    </a:solidFill>
    <a:ln w="6480">
      <a:solidFill>
        <a:srgbClr val="8b8b8b"/>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6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4"/>
                <c:pt idx="0">
                  <c:v>Solteiro/a</c:v>
                </c:pt>
                <c:pt idx="1">
                  <c:v>Casado/a, União estável</c:v>
                </c:pt>
                <c:pt idx="2">
                  <c:v>Separado/a, Divorciado/a</c:v>
                </c:pt>
                <c:pt idx="3">
                  <c:v>Viúvo/a</c:v>
                </c:pt>
              </c:strCache>
            </c:strRef>
          </c:cat>
          <c:val>
            <c:numRef>
              <c:f>0</c:f>
              <c:numCache>
                <c:formatCode>General</c:formatCode>
                <c:ptCount val="4"/>
                <c:pt idx="0">
                  <c:v>0.512</c:v>
                </c:pt>
                <c:pt idx="1">
                  <c:v>0.427</c:v>
                </c:pt>
                <c:pt idx="2">
                  <c:v>0.055</c:v>
                </c:pt>
                <c:pt idx="3">
                  <c:v>0.007</c:v>
                </c:pt>
              </c:numCache>
            </c:numRef>
          </c:val>
        </c:ser>
      </c:pie3DChart>
    </c:plotArea>
    <c:legend>
      <c:legendPos val="r"/>
      <c:overlay val="0"/>
      <c:spPr>
        <a:solidFill>
          <a:srgbClr val="f2f2f2">
            <a:alpha val="39000"/>
          </a:srgbClr>
        </a:solidFill>
        <a:ln>
          <a:noFill/>
        </a:ln>
      </c:spPr>
      <c:txPr>
        <a:bodyPr/>
        <a:lstStyle/>
        <a:p>
          <a:pPr>
            <a:defRPr b="0" sz="9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60.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col"/>
        <c:grouping val="clustered"/>
        <c:varyColors val="0"/>
        <c:ser>
          <c:idx val="0"/>
          <c:order val="0"/>
          <c:tx>
            <c:strRef>
              <c:f>label 0</c:f>
              <c:strCache>
                <c:ptCount val="1"/>
                <c:pt idx="0">
                  <c:v>Muito Baixo</c:v>
                </c:pt>
              </c:strCache>
            </c:strRef>
          </c:tx>
          <c:spPr>
            <a:solidFill>
              <a:srgbClr val="5b9bd5">
                <a:alpha val="88000"/>
              </a:srgbClr>
            </a:solidFill>
            <a:ln>
              <a:solidFill>
                <a:srgbClr val="1f4e79"/>
              </a:solidFill>
            </a:ln>
          </c:spPr>
          <c:invertIfNegative val="0"/>
          <c:dPt>
            <c:idx val="0"/>
            <c:invertIfNegative val="0"/>
            <c:spPr>
              <a:solidFill>
                <a:srgbClr val="5b9bd5">
                  <a:alpha val="88000"/>
                </a:srgbClr>
              </a:solidFill>
              <a:ln>
                <a:solidFill>
                  <a:srgbClr val="1f4e79"/>
                </a:solidFill>
              </a:ln>
            </c:spPr>
          </c:dPt>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Lbls>
            <c:numFmt formatCode="0.0%" sourceLinked="1"/>
            <c:dLbl>
              <c:idx val="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Até 10</c:v>
                </c:pt>
                <c:pt idx="1">
                  <c:v>De 11 a 50</c:v>
                </c:pt>
                <c:pt idx="2">
                  <c:v>De 51 a 100</c:v>
                </c:pt>
                <c:pt idx="3">
                  <c:v>De 101 a 400</c:v>
                </c:pt>
                <c:pt idx="4">
                  <c:v>Acima de 400</c:v>
                </c:pt>
              </c:strCache>
            </c:strRef>
          </c:cat>
          <c:val>
            <c:numRef>
              <c:f>0</c:f>
              <c:numCache>
                <c:formatCode>General</c:formatCode>
                <c:ptCount val="5"/>
                <c:pt idx="0">
                  <c:v>0.061</c:v>
                </c:pt>
                <c:pt idx="1">
                  <c:v>0.101</c:v>
                </c:pt>
                <c:pt idx="2">
                  <c:v>0.107</c:v>
                </c:pt>
                <c:pt idx="3">
                  <c:v>0.049</c:v>
                </c:pt>
                <c:pt idx="4">
                  <c:v>0.052</c:v>
                </c:pt>
              </c:numCache>
            </c:numRef>
          </c:val>
        </c:ser>
        <c:ser>
          <c:idx val="1"/>
          <c:order val="1"/>
          <c:tx>
            <c:strRef>
              <c:f>label 1</c:f>
              <c:strCache>
                <c:ptCount val="1"/>
                <c:pt idx="0">
                  <c:v>Baixo</c:v>
                </c:pt>
              </c:strCache>
            </c:strRef>
          </c:tx>
          <c:spPr>
            <a:solidFill>
              <a:srgbClr val="ed7d31">
                <a:alpha val="88000"/>
              </a:srgbClr>
            </a:solidFill>
            <a:ln>
              <a:solidFill>
                <a:srgbClr val="843c0b"/>
              </a:solidFill>
            </a:ln>
          </c:spPr>
          <c:invertIfNegative val="0"/>
          <c:dPt>
            <c:idx val="0"/>
            <c:invertIfNegative val="0"/>
            <c:spPr>
              <a:solidFill>
                <a:srgbClr val="ed7d31">
                  <a:alpha val="88000"/>
                </a:srgbClr>
              </a:solidFill>
              <a:ln>
                <a:solidFill>
                  <a:srgbClr val="843c0b"/>
                </a:solidFill>
              </a:ln>
            </c:spPr>
          </c:dPt>
          <c:dPt>
            <c:idx val="1"/>
            <c:invertIfNegative val="0"/>
            <c:spPr>
              <a:solidFill>
                <a:srgbClr val="ed7d31">
                  <a:alpha val="88000"/>
                </a:srgbClr>
              </a:solidFill>
              <a:ln>
                <a:solidFill>
                  <a:srgbClr val="843c0b"/>
                </a:solidFill>
              </a:ln>
            </c:spPr>
          </c:dPt>
          <c:dPt>
            <c:idx val="2"/>
            <c:invertIfNegative val="0"/>
            <c:spPr>
              <a:solidFill>
                <a:srgbClr val="ed7d31">
                  <a:alpha val="88000"/>
                </a:srgbClr>
              </a:solidFill>
              <a:ln>
                <a:solidFill>
                  <a:srgbClr val="843c0b"/>
                </a:solidFill>
              </a:ln>
            </c:spPr>
          </c:dPt>
          <c:dPt>
            <c:idx val="3"/>
            <c:invertIfNegative val="0"/>
            <c:spPr>
              <a:solidFill>
                <a:srgbClr val="ed7d31">
                  <a:alpha val="88000"/>
                </a:srgbClr>
              </a:solidFill>
              <a:ln>
                <a:solidFill>
                  <a:srgbClr val="843c0b"/>
                </a:solidFill>
              </a:ln>
            </c:spPr>
          </c:dPt>
          <c:dPt>
            <c:idx val="4"/>
            <c:invertIfNegative val="0"/>
            <c:spPr>
              <a:solidFill>
                <a:srgbClr val="ed7d31">
                  <a:alpha val="88000"/>
                </a:srgbClr>
              </a:solidFill>
              <a:ln>
                <a:solidFill>
                  <a:srgbClr val="843c0b"/>
                </a:solidFill>
              </a:ln>
            </c:spPr>
          </c:dPt>
          <c:dLbls>
            <c:numFmt formatCode="0.0%" sourceLinked="1"/>
            <c:dLbl>
              <c:idx val="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Até 10</c:v>
                </c:pt>
                <c:pt idx="1">
                  <c:v>De 11 a 50</c:v>
                </c:pt>
                <c:pt idx="2">
                  <c:v>De 51 a 100</c:v>
                </c:pt>
                <c:pt idx="3">
                  <c:v>De 101 a 400</c:v>
                </c:pt>
                <c:pt idx="4">
                  <c:v>Acima de 400</c:v>
                </c:pt>
              </c:strCache>
            </c:strRef>
          </c:cat>
          <c:val>
            <c:numRef>
              <c:f>1</c:f>
              <c:numCache>
                <c:formatCode>General</c:formatCode>
                <c:ptCount val="5"/>
                <c:pt idx="0">
                  <c:v>0.242</c:v>
                </c:pt>
                <c:pt idx="1">
                  <c:v>0.209</c:v>
                </c:pt>
                <c:pt idx="2">
                  <c:v>0.167</c:v>
                </c:pt>
                <c:pt idx="3">
                  <c:v>0.119</c:v>
                </c:pt>
                <c:pt idx="4">
                  <c:v>0.105</c:v>
                </c:pt>
              </c:numCache>
            </c:numRef>
          </c:val>
        </c:ser>
        <c:ser>
          <c:idx val="2"/>
          <c:order val="2"/>
          <c:tx>
            <c:strRef>
              <c:f>label 2</c:f>
              <c:strCache>
                <c:ptCount val="1"/>
                <c:pt idx="0">
                  <c:v>Médio</c:v>
                </c:pt>
              </c:strCache>
            </c:strRef>
          </c:tx>
          <c:spPr>
            <a:solidFill>
              <a:srgbClr val="a5a5a5">
                <a:alpha val="88000"/>
              </a:srgbClr>
            </a:solidFill>
            <a:ln>
              <a:solidFill>
                <a:srgbClr val="535353"/>
              </a:solidFill>
            </a:ln>
          </c:spPr>
          <c:invertIfNegative val="0"/>
          <c:dPt>
            <c:idx val="2"/>
            <c:invertIfNegative val="0"/>
            <c:spPr>
              <a:solidFill>
                <a:srgbClr val="a5a5a5">
                  <a:alpha val="88000"/>
                </a:srgbClr>
              </a:solidFill>
              <a:ln>
                <a:solidFill>
                  <a:srgbClr val="535353"/>
                </a:solidFill>
              </a:ln>
            </c:spPr>
          </c:dPt>
          <c:dPt>
            <c:idx val="4"/>
            <c:invertIfNegative val="0"/>
            <c:spPr>
              <a:solidFill>
                <a:srgbClr val="a5a5a5">
                  <a:alpha val="88000"/>
                </a:srgbClr>
              </a:solidFill>
              <a:ln>
                <a:solidFill>
                  <a:srgbClr val="535353"/>
                </a:solidFill>
              </a:ln>
            </c:spPr>
          </c:dPt>
          <c:dLbls>
            <c:numFmt formatCode="0.0%" sourceLinked="1"/>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Até 10</c:v>
                </c:pt>
                <c:pt idx="1">
                  <c:v>De 11 a 50</c:v>
                </c:pt>
                <c:pt idx="2">
                  <c:v>De 51 a 100</c:v>
                </c:pt>
                <c:pt idx="3">
                  <c:v>De 101 a 400</c:v>
                </c:pt>
                <c:pt idx="4">
                  <c:v>Acima de 400</c:v>
                </c:pt>
              </c:strCache>
            </c:strRef>
          </c:cat>
          <c:val>
            <c:numRef>
              <c:f>2</c:f>
              <c:numCache>
                <c:formatCode>General</c:formatCode>
                <c:ptCount val="5"/>
                <c:pt idx="0">
                  <c:v>0.273</c:v>
                </c:pt>
                <c:pt idx="1">
                  <c:v>0.187</c:v>
                </c:pt>
                <c:pt idx="2">
                  <c:v>0.167</c:v>
                </c:pt>
                <c:pt idx="3">
                  <c:v>0.182</c:v>
                </c:pt>
                <c:pt idx="4">
                  <c:v>0.227</c:v>
                </c:pt>
              </c:numCache>
            </c:numRef>
          </c:val>
        </c:ser>
        <c:ser>
          <c:idx val="3"/>
          <c:order val="3"/>
          <c:tx>
            <c:strRef>
              <c:f>label 3</c:f>
              <c:strCache>
                <c:ptCount val="1"/>
                <c:pt idx="0">
                  <c:v>Alto</c:v>
                </c:pt>
              </c:strCache>
            </c:strRef>
          </c:tx>
          <c:spPr>
            <a:solidFill>
              <a:srgbClr val="ffc000">
                <a:alpha val="88000"/>
              </a:srgbClr>
            </a:solidFill>
            <a:ln>
              <a:solidFill>
                <a:srgbClr val="806000"/>
              </a:solidFill>
            </a:ln>
          </c:spPr>
          <c:invertIfNegative val="0"/>
          <c:dPt>
            <c:idx val="0"/>
            <c:invertIfNegative val="0"/>
            <c:spPr>
              <a:solidFill>
                <a:srgbClr val="ffc000">
                  <a:alpha val="88000"/>
                </a:srgbClr>
              </a:solidFill>
              <a:ln>
                <a:solidFill>
                  <a:srgbClr val="806000"/>
                </a:solidFill>
              </a:ln>
            </c:spPr>
          </c:dPt>
          <c:dPt>
            <c:idx val="1"/>
            <c:invertIfNegative val="0"/>
            <c:spPr>
              <a:solidFill>
                <a:srgbClr val="ffc000">
                  <a:alpha val="88000"/>
                </a:srgbClr>
              </a:solidFill>
              <a:ln>
                <a:solidFill>
                  <a:srgbClr val="806000"/>
                </a:solidFill>
              </a:ln>
            </c:spPr>
          </c:dPt>
          <c:dPt>
            <c:idx val="2"/>
            <c:invertIfNegative val="0"/>
            <c:spPr>
              <a:solidFill>
                <a:srgbClr val="ffc000">
                  <a:alpha val="88000"/>
                </a:srgbClr>
              </a:solidFill>
              <a:ln>
                <a:solidFill>
                  <a:srgbClr val="806000"/>
                </a:solidFill>
              </a:ln>
            </c:spPr>
          </c:dPt>
          <c:dPt>
            <c:idx val="3"/>
            <c:invertIfNegative val="0"/>
            <c:spPr>
              <a:solidFill>
                <a:srgbClr val="ffc000">
                  <a:alpha val="88000"/>
                </a:srgbClr>
              </a:solidFill>
              <a:ln>
                <a:solidFill>
                  <a:srgbClr val="806000"/>
                </a:solidFill>
              </a:ln>
            </c:spPr>
          </c:dPt>
          <c:dLbls>
            <c:numFmt formatCode="0.0%" sourceLinked="1"/>
            <c:dLbl>
              <c:idx val="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Até 10</c:v>
                </c:pt>
                <c:pt idx="1">
                  <c:v>De 11 a 50</c:v>
                </c:pt>
                <c:pt idx="2">
                  <c:v>De 51 a 100</c:v>
                </c:pt>
                <c:pt idx="3">
                  <c:v>De 101 a 400</c:v>
                </c:pt>
                <c:pt idx="4">
                  <c:v>Acima de 400</c:v>
                </c:pt>
              </c:strCache>
            </c:strRef>
          </c:cat>
          <c:val>
            <c:numRef>
              <c:f>3</c:f>
              <c:numCache>
                <c:formatCode>General</c:formatCode>
                <c:ptCount val="5"/>
                <c:pt idx="0">
                  <c:v>0.227</c:v>
                </c:pt>
                <c:pt idx="1">
                  <c:v>0.266</c:v>
                </c:pt>
                <c:pt idx="2">
                  <c:v>0.31</c:v>
                </c:pt>
                <c:pt idx="3">
                  <c:v>0.189</c:v>
                </c:pt>
                <c:pt idx="4">
                  <c:v>0.209</c:v>
                </c:pt>
              </c:numCache>
            </c:numRef>
          </c:val>
        </c:ser>
        <c:ser>
          <c:idx val="4"/>
          <c:order val="4"/>
          <c:tx>
            <c:strRef>
              <c:f>label 4</c:f>
              <c:strCache>
                <c:ptCount val="1"/>
                <c:pt idx="0">
                  <c:v>Muito Alto</c:v>
                </c:pt>
              </c:strCache>
            </c:strRef>
          </c:tx>
          <c:spPr>
            <a:solidFill>
              <a:srgbClr val="4472c4">
                <a:alpha val="88000"/>
              </a:srgbClr>
            </a:solidFill>
            <a:ln>
              <a:solidFill>
                <a:srgbClr val="203864"/>
              </a:solidFill>
            </a:ln>
          </c:spPr>
          <c:invertIfNegative val="0"/>
          <c:dPt>
            <c:idx val="0"/>
            <c:invertIfNegative val="0"/>
            <c:spPr>
              <a:solidFill>
                <a:srgbClr val="4472c4">
                  <a:alpha val="88000"/>
                </a:srgbClr>
              </a:solidFill>
              <a:ln>
                <a:solidFill>
                  <a:srgbClr val="203864"/>
                </a:solidFill>
              </a:ln>
            </c:spPr>
          </c:dPt>
          <c:dPt>
            <c:idx val="1"/>
            <c:invertIfNegative val="0"/>
            <c:spPr>
              <a:solidFill>
                <a:srgbClr val="4472c4">
                  <a:alpha val="88000"/>
                </a:srgbClr>
              </a:solidFill>
              <a:ln>
                <a:solidFill>
                  <a:srgbClr val="203864"/>
                </a:solidFill>
              </a:ln>
            </c:spPr>
          </c:dPt>
          <c:dPt>
            <c:idx val="2"/>
            <c:invertIfNegative val="0"/>
            <c:spPr>
              <a:solidFill>
                <a:srgbClr val="4472c4">
                  <a:alpha val="88000"/>
                </a:srgbClr>
              </a:solidFill>
              <a:ln>
                <a:solidFill>
                  <a:srgbClr val="203864"/>
                </a:solidFill>
              </a:ln>
            </c:spPr>
          </c:dPt>
          <c:dPt>
            <c:idx val="3"/>
            <c:invertIfNegative val="0"/>
            <c:spPr>
              <a:solidFill>
                <a:srgbClr val="4472c4">
                  <a:alpha val="88000"/>
                </a:srgbClr>
              </a:solidFill>
              <a:ln>
                <a:solidFill>
                  <a:srgbClr val="203864"/>
                </a:solidFill>
              </a:ln>
            </c:spPr>
          </c:dPt>
          <c:dPt>
            <c:idx val="4"/>
            <c:invertIfNegative val="0"/>
            <c:spPr>
              <a:solidFill>
                <a:srgbClr val="4472c4">
                  <a:alpha val="88000"/>
                </a:srgbClr>
              </a:solidFill>
              <a:ln>
                <a:solidFill>
                  <a:srgbClr val="203864"/>
                </a:solidFill>
              </a:ln>
            </c:spPr>
          </c:dPt>
          <c:dLbls>
            <c:numFmt formatCode="0.0%" sourceLinked="1"/>
            <c:dLbl>
              <c:idx val="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Até 10</c:v>
                </c:pt>
                <c:pt idx="1">
                  <c:v>De 11 a 50</c:v>
                </c:pt>
                <c:pt idx="2">
                  <c:v>De 51 a 100</c:v>
                </c:pt>
                <c:pt idx="3">
                  <c:v>De 101 a 400</c:v>
                </c:pt>
                <c:pt idx="4">
                  <c:v>Acima de 400</c:v>
                </c:pt>
              </c:strCache>
            </c:strRef>
          </c:cat>
          <c:val>
            <c:numRef>
              <c:f>4</c:f>
              <c:numCache>
                <c:formatCode>General</c:formatCode>
                <c:ptCount val="5"/>
                <c:pt idx="0">
                  <c:v>0.197</c:v>
                </c:pt>
                <c:pt idx="1">
                  <c:v>0.23</c:v>
                </c:pt>
                <c:pt idx="2">
                  <c:v>0.25</c:v>
                </c:pt>
                <c:pt idx="3">
                  <c:v>0.462</c:v>
                </c:pt>
                <c:pt idx="4">
                  <c:v>0.407</c:v>
                </c:pt>
              </c:numCache>
            </c:numRef>
          </c:val>
        </c:ser>
        <c:gapWidth val="84"/>
        <c:shape val="box"/>
        <c:axId val="20273826"/>
        <c:axId val="6082022"/>
        <c:axId val="0"/>
      </c:bar3DChart>
      <c:catAx>
        <c:axId val="20273826"/>
        <c:scaling>
          <c:orientation val="minMax"/>
        </c:scaling>
        <c:delete val="0"/>
        <c:axPos val="b"/>
        <c:numFmt formatCode="[$-416]DD/MM/YYYY" sourceLinked="1"/>
        <c:majorTickMark val="none"/>
        <c:minorTickMark val="none"/>
        <c:tickLblPos val="nextTo"/>
        <c:spPr>
          <a:ln w="6480">
            <a:noFill/>
          </a:ln>
        </c:spPr>
        <c:txPr>
          <a:bodyPr/>
          <a:lstStyle/>
          <a:p>
            <a:pPr>
              <a:defRPr b="0" sz="900" spc="-1" strike="noStrike">
                <a:solidFill>
                  <a:srgbClr val="bfbfbf"/>
                </a:solidFill>
                <a:latin typeface="Calibri"/>
              </a:defRPr>
            </a:pPr>
          </a:p>
        </c:txPr>
        <c:crossAx val="6082022"/>
        <c:crosses val="autoZero"/>
        <c:auto val="1"/>
        <c:lblAlgn val="ctr"/>
        <c:lblOffset val="100"/>
      </c:catAx>
      <c:valAx>
        <c:axId val="6082022"/>
        <c:scaling>
          <c:orientation val="minMax"/>
        </c:scaling>
        <c:delete val="1"/>
        <c:axPos val="l"/>
        <c:numFmt formatCode="0.0%"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20273826"/>
        <c:crosses val="autoZero"/>
      </c:valAx>
    </c:plotArea>
    <c:legend>
      <c:legendPos val="t"/>
      <c:overlay val="0"/>
      <c:spPr>
        <a:noFill/>
        <a:ln>
          <a:noFill/>
        </a:ln>
      </c:spPr>
      <c:txPr>
        <a:bodyPr/>
        <a:lstStyle/>
        <a:p>
          <a:pPr>
            <a:defRPr b="0" sz="900" spc="-1" strike="noStrike">
              <a:solidFill>
                <a:srgbClr val="bfbfbf"/>
              </a:solidFill>
              <a:latin typeface="Calibri"/>
            </a:defRPr>
          </a:pPr>
        </a:p>
      </c:txPr>
    </c:legend>
    <c:plotVisOnly val="1"/>
    <c:dispBlanksAs val="gap"/>
  </c:chart>
  <c:spPr>
    <a:solidFill>
      <a:srgbClr val="404040"/>
    </a:solidFill>
    <a:ln w="6480">
      <a:solidFill>
        <a:srgbClr val="8b8b8b"/>
      </a:solidFill>
      <a:round/>
    </a:ln>
  </c:spPr>
</c:chartSpace>
</file>

<file path=word/charts/chart61.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col"/>
        <c:grouping val="clustered"/>
        <c:varyColors val="0"/>
        <c:ser>
          <c:idx val="0"/>
          <c:order val="0"/>
          <c:tx>
            <c:strRef>
              <c:f>label 0</c:f>
              <c:strCache>
                <c:ptCount val="1"/>
                <c:pt idx="0">
                  <c:v>Feminino</c:v>
                </c:pt>
              </c:strCache>
            </c:strRef>
          </c:tx>
          <c:spPr>
            <a:solidFill>
              <a:srgbClr val="5b9bd5">
                <a:alpha val="88000"/>
              </a:srgbClr>
            </a:solidFill>
            <a:ln>
              <a:solidFill>
                <a:srgbClr val="1f4e79"/>
              </a:solidFill>
            </a:ln>
          </c:spPr>
          <c:invertIfNegative val="0"/>
          <c:dPt>
            <c:idx val="0"/>
            <c:invertIfNegative val="0"/>
            <c:spPr>
              <a:solidFill>
                <a:srgbClr val="5b9bd5">
                  <a:alpha val="88000"/>
                </a:srgbClr>
              </a:solidFill>
              <a:ln>
                <a:solidFill>
                  <a:srgbClr val="1f4e79"/>
                </a:solidFill>
              </a:ln>
            </c:spPr>
          </c:dPt>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Lbls>
            <c:numFmt formatCode="General" sourceLinked="1"/>
            <c:dLbl>
              <c:idx val="0"/>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600" spc="-1" strike="noStrike">
                      <a:solidFill>
                        <a:srgbClr val="ffffff"/>
                      </a:solidFill>
                      <a:latin typeface="Calibri"/>
                    </a:defRPr>
                  </a:pPr>
                </a:p>
              </c:txPr>
              <c:showLegendKey val="0"/>
              <c:showVal val="1"/>
              <c:showCatName val="0"/>
              <c:showSerName val="0"/>
              <c:showPercent val="0"/>
              <c:separator>; </c:separator>
            </c:dLbl>
            <c:txPr>
              <a:bodyPr/>
              <a:lstStyle/>
              <a:p>
                <a:pPr>
                  <a:defRPr b="1" sz="6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Muito Baixo</c:v>
                </c:pt>
                <c:pt idx="1">
                  <c:v>Baixo</c:v>
                </c:pt>
                <c:pt idx="2">
                  <c:v>Médio</c:v>
                </c:pt>
                <c:pt idx="3">
                  <c:v>Alto</c:v>
                </c:pt>
                <c:pt idx="4">
                  <c:v>Muito Alto</c:v>
                </c:pt>
              </c:strCache>
            </c:strRef>
          </c:cat>
          <c:val>
            <c:numRef>
              <c:f>0</c:f>
              <c:numCache>
                <c:formatCode>General</c:formatCode>
                <c:ptCount val="5"/>
                <c:pt idx="0">
                  <c:v>11.9</c:v>
                </c:pt>
                <c:pt idx="1">
                  <c:v>26.6</c:v>
                </c:pt>
                <c:pt idx="2">
                  <c:v>22</c:v>
                </c:pt>
                <c:pt idx="3">
                  <c:v>13.6</c:v>
                </c:pt>
                <c:pt idx="4">
                  <c:v>26</c:v>
                </c:pt>
              </c:numCache>
            </c:numRef>
          </c:val>
        </c:ser>
        <c:ser>
          <c:idx val="1"/>
          <c:order val="1"/>
          <c:tx>
            <c:strRef>
              <c:f>label 1</c:f>
              <c:strCache>
                <c:ptCount val="1"/>
                <c:pt idx="0">
                  <c:v>Masculino</c:v>
                </c:pt>
              </c:strCache>
            </c:strRef>
          </c:tx>
          <c:spPr>
            <a:solidFill>
              <a:srgbClr val="ed7d31">
                <a:alpha val="88000"/>
              </a:srgbClr>
            </a:solidFill>
            <a:ln>
              <a:solidFill>
                <a:srgbClr val="843c0b"/>
              </a:solidFill>
            </a:ln>
          </c:spPr>
          <c:invertIfNegative val="0"/>
          <c:dPt>
            <c:idx val="0"/>
            <c:invertIfNegative val="0"/>
            <c:spPr>
              <a:solidFill>
                <a:srgbClr val="ed7d31">
                  <a:alpha val="88000"/>
                </a:srgbClr>
              </a:solidFill>
              <a:ln>
                <a:solidFill>
                  <a:srgbClr val="843c0b"/>
                </a:solidFill>
              </a:ln>
            </c:spPr>
          </c:dPt>
          <c:dPt>
            <c:idx val="1"/>
            <c:invertIfNegative val="0"/>
            <c:spPr>
              <a:solidFill>
                <a:srgbClr val="ed7d31">
                  <a:alpha val="88000"/>
                </a:srgbClr>
              </a:solidFill>
              <a:ln>
                <a:solidFill>
                  <a:srgbClr val="843c0b"/>
                </a:solidFill>
              </a:ln>
            </c:spPr>
          </c:dPt>
          <c:dPt>
            <c:idx val="2"/>
            <c:invertIfNegative val="0"/>
            <c:spPr>
              <a:solidFill>
                <a:srgbClr val="ed7d31">
                  <a:alpha val="88000"/>
                </a:srgbClr>
              </a:solidFill>
              <a:ln>
                <a:solidFill>
                  <a:srgbClr val="843c0b"/>
                </a:solidFill>
              </a:ln>
            </c:spPr>
          </c:dPt>
          <c:dPt>
            <c:idx val="3"/>
            <c:invertIfNegative val="0"/>
            <c:spPr>
              <a:solidFill>
                <a:srgbClr val="ed7d31">
                  <a:alpha val="88000"/>
                </a:srgbClr>
              </a:solidFill>
              <a:ln>
                <a:solidFill>
                  <a:srgbClr val="843c0b"/>
                </a:solidFill>
              </a:ln>
            </c:spPr>
          </c:dPt>
          <c:dPt>
            <c:idx val="4"/>
            <c:invertIfNegative val="0"/>
            <c:spPr>
              <a:solidFill>
                <a:srgbClr val="ed7d31">
                  <a:alpha val="88000"/>
                </a:srgbClr>
              </a:solidFill>
              <a:ln>
                <a:solidFill>
                  <a:srgbClr val="843c0b"/>
                </a:solidFill>
              </a:ln>
            </c:spPr>
          </c:dPt>
          <c:dLbls>
            <c:numFmt formatCode="General" sourceLinked="1"/>
            <c:dLbl>
              <c:idx val="0"/>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600" spc="-1" strike="noStrike">
                      <a:solidFill>
                        <a:srgbClr val="ffffff"/>
                      </a:solidFill>
                      <a:latin typeface="Calibri"/>
                    </a:defRPr>
                  </a:pPr>
                </a:p>
              </c:txPr>
              <c:showLegendKey val="0"/>
              <c:showVal val="1"/>
              <c:showCatName val="0"/>
              <c:showSerName val="0"/>
              <c:showPercent val="0"/>
              <c:separator>; </c:separator>
            </c:dLbl>
            <c:txPr>
              <a:bodyPr/>
              <a:lstStyle/>
              <a:p>
                <a:pPr>
                  <a:defRPr b="1" sz="6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Muito Baixo</c:v>
                </c:pt>
                <c:pt idx="1">
                  <c:v>Baixo</c:v>
                </c:pt>
                <c:pt idx="2">
                  <c:v>Médio</c:v>
                </c:pt>
                <c:pt idx="3">
                  <c:v>Alto</c:v>
                </c:pt>
                <c:pt idx="4">
                  <c:v>Muito Alto</c:v>
                </c:pt>
              </c:strCache>
            </c:strRef>
          </c:cat>
          <c:val>
            <c:numRef>
              <c:f>1</c:f>
              <c:numCache>
                <c:formatCode>General</c:formatCode>
                <c:ptCount val="5"/>
                <c:pt idx="0">
                  <c:v>5.2</c:v>
                </c:pt>
                <c:pt idx="1">
                  <c:v>11</c:v>
                </c:pt>
                <c:pt idx="2">
                  <c:v>19.7</c:v>
                </c:pt>
                <c:pt idx="3">
                  <c:v>27.5</c:v>
                </c:pt>
                <c:pt idx="4">
                  <c:v>36.6</c:v>
                </c:pt>
              </c:numCache>
            </c:numRef>
          </c:val>
        </c:ser>
        <c:gapWidth val="84"/>
        <c:shape val="box"/>
        <c:axId val="29829825"/>
        <c:axId val="72595532"/>
        <c:axId val="0"/>
      </c:bar3DChart>
      <c:catAx>
        <c:axId val="29829825"/>
        <c:scaling>
          <c:orientation val="minMax"/>
        </c:scaling>
        <c:delete val="0"/>
        <c:axPos val="b"/>
        <c:numFmt formatCode="[$-416]DD/MM/YYYY" sourceLinked="1"/>
        <c:majorTickMark val="none"/>
        <c:minorTickMark val="none"/>
        <c:tickLblPos val="nextTo"/>
        <c:spPr>
          <a:ln w="6480">
            <a:noFill/>
          </a:ln>
        </c:spPr>
        <c:txPr>
          <a:bodyPr/>
          <a:lstStyle/>
          <a:p>
            <a:pPr>
              <a:defRPr b="0" sz="900" spc="-1" strike="noStrike">
                <a:solidFill>
                  <a:srgbClr val="bfbfbf"/>
                </a:solidFill>
                <a:latin typeface="Calibri"/>
              </a:defRPr>
            </a:pPr>
          </a:p>
        </c:txPr>
        <c:crossAx val="72595532"/>
        <c:crosses val="autoZero"/>
        <c:auto val="1"/>
        <c:lblAlgn val="ctr"/>
        <c:lblOffset val="100"/>
      </c:catAx>
      <c:valAx>
        <c:axId val="72595532"/>
        <c:scaling>
          <c:orientation val="minMax"/>
        </c:scaling>
        <c:delete val="1"/>
        <c:axPos val="l"/>
        <c:numFmt formatCode="General"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29829825"/>
        <c:crosses val="autoZero"/>
      </c:valAx>
    </c:plotArea>
    <c:legend>
      <c:legendPos val="t"/>
      <c:overlay val="0"/>
      <c:spPr>
        <a:noFill/>
        <a:ln>
          <a:noFill/>
        </a:ln>
      </c:spPr>
      <c:txPr>
        <a:bodyPr/>
        <a:lstStyle/>
        <a:p>
          <a:pPr>
            <a:defRPr b="0" sz="900" spc="-1" strike="noStrike">
              <a:solidFill>
                <a:srgbClr val="bfbfbf"/>
              </a:solidFill>
              <a:latin typeface="Calibri"/>
            </a:defRPr>
          </a:pPr>
        </a:p>
      </c:txPr>
    </c:legend>
    <c:plotVisOnly val="1"/>
    <c:dispBlanksAs val="gap"/>
  </c:chart>
  <c:spPr>
    <a:solidFill>
      <a:srgbClr val="404040"/>
    </a:solidFill>
    <a:ln w="6480">
      <a:solidFill>
        <a:srgbClr val="8b8b8b"/>
      </a:solidFill>
      <a:round/>
    </a:ln>
  </c:spPr>
</c:chartSpace>
</file>

<file path=word/charts/chart62.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6480">
          <a:noFill/>
        </a:ln>
      </c:spPr>
    </c:floor>
    <c:sideWall>
      <c:spPr>
        <a:noFill/>
        <a:ln w="6480">
          <a:noFill/>
        </a:ln>
      </c:spPr>
    </c:sideWall>
    <c:backWall>
      <c:spPr>
        <a:noFill/>
        <a:ln w="6480">
          <a:noFill/>
        </a:ln>
      </c:spPr>
    </c:backWall>
    <c:plotArea>
      <c:bar3DChart>
        <c:barDir val="col"/>
        <c:grouping val="stacked"/>
        <c:varyColors val="0"/>
        <c:ser>
          <c:idx val="0"/>
          <c:order val="0"/>
          <c:tx>
            <c:strRef>
              <c:f>label 0</c:f>
              <c:strCache>
                <c:ptCount val="1"/>
                <c:pt idx="0">
                  <c:v/>
                </c:pt>
              </c:strCache>
            </c:strRef>
          </c:tx>
          <c:spPr>
            <a:gradFill>
              <a:gsLst>
                <a:gs pos="0">
                  <a:srgbClr val="3574ac"/>
                </a:gs>
                <a:gs pos="100000">
                  <a:srgbClr val="4697e0"/>
                </a:gs>
              </a:gsLst>
              <a:lin ang="16200000"/>
            </a:gradFill>
            <a:ln>
              <a:noFill/>
            </a:ln>
          </c:spPr>
          <c:invertIfNegative val="0"/>
          <c:dLbls>
            <c:numFmt formatCode="General" sourceLinked="1"/>
            <c:txPr>
              <a:bodyPr/>
              <a:lstStyle/>
              <a:p>
                <a:pPr>
                  <a:defRPr b="0" sz="900" spc="-1" strike="noStrike">
                    <a:solidFill>
                      <a:srgbClr val="d9d9d9"/>
                    </a:solidFill>
                    <a:latin typeface="Calibri"/>
                  </a:defRPr>
                </a:pPr>
              </a:p>
            </c:txPr>
            <c:showLegendKey val="0"/>
            <c:showVal val="1"/>
            <c:showCatName val="0"/>
            <c:showSerName val="0"/>
            <c:showPercent val="0"/>
            <c:separator>; </c:separator>
            <c:showLeaderLines val="0"/>
          </c:dLbls>
          <c:cat>
            <c:strRef>
              <c:f>categories</c:f>
              <c:strCache>
                <c:ptCount val="4"/>
                <c:pt idx="0">
                  <c:v>Muito Baixo</c:v>
                </c:pt>
                <c:pt idx="1">
                  <c:v>Baixo</c:v>
                </c:pt>
                <c:pt idx="2">
                  <c:v>Médio</c:v>
                </c:pt>
                <c:pt idx="3">
                  <c:v>Alto</c:v>
                </c:pt>
              </c:strCache>
            </c:strRef>
          </c:cat>
          <c:val>
            <c:numRef>
              <c:f>0</c:f>
              <c:numCache>
                <c:formatCode>General</c:formatCode>
                <c:ptCount val="4"/>
                <c:pt idx="0">
                  <c:v>81.9</c:v>
                </c:pt>
                <c:pt idx="1">
                  <c:v>13.9</c:v>
                </c:pt>
                <c:pt idx="2">
                  <c:v>3.8</c:v>
                </c:pt>
                <c:pt idx="3">
                  <c:v>0.3</c:v>
                </c:pt>
              </c:numCache>
            </c:numRef>
          </c:val>
        </c:ser>
        <c:gapWidth val="150"/>
        <c:shape val="box"/>
        <c:axId val="78552943"/>
        <c:axId val="9052384"/>
        <c:axId val="0"/>
      </c:bar3DChart>
      <c:catAx>
        <c:axId val="78552943"/>
        <c:scaling>
          <c:orientation val="minMax"/>
        </c:scaling>
        <c:delete val="0"/>
        <c:axPos val="b"/>
        <c:numFmt formatCode="[$-416]DD/MM/YYYY" sourceLinked="1"/>
        <c:majorTickMark val="none"/>
        <c:minorTickMark val="none"/>
        <c:tickLblPos val="nextTo"/>
        <c:spPr>
          <a:ln w="6480">
            <a:noFill/>
          </a:ln>
        </c:spPr>
        <c:txPr>
          <a:bodyPr/>
          <a:lstStyle/>
          <a:p>
            <a:pPr>
              <a:defRPr b="0" sz="900" spc="-1" strike="noStrike">
                <a:solidFill>
                  <a:srgbClr val="d9d9d9"/>
                </a:solidFill>
                <a:latin typeface="Calibri"/>
              </a:defRPr>
            </a:pPr>
          </a:p>
        </c:txPr>
        <c:crossAx val="9052384"/>
        <c:crosses val="autoZero"/>
        <c:auto val="1"/>
        <c:lblAlgn val="ctr"/>
        <c:lblOffset val="100"/>
      </c:catAx>
      <c:valAx>
        <c:axId val="9052384"/>
        <c:scaling>
          <c:orientation val="minMax"/>
        </c:scaling>
        <c:delete val="0"/>
        <c:axPos val="l"/>
        <c:majorGridlines>
          <c:spPr>
            <a:ln w="9360">
              <a:solidFill>
                <a:srgbClr val="808080"/>
              </a:solidFill>
              <a:round/>
            </a:ln>
          </c:spPr>
        </c:majorGridlines>
        <c:numFmt formatCode="General" sourceLinked="0"/>
        <c:majorTickMark val="none"/>
        <c:minorTickMark val="none"/>
        <c:tickLblPos val="nextTo"/>
        <c:spPr>
          <a:ln w="6480">
            <a:noFill/>
          </a:ln>
        </c:spPr>
        <c:txPr>
          <a:bodyPr/>
          <a:lstStyle/>
          <a:p>
            <a:pPr>
              <a:defRPr b="0" sz="900" spc="-1" strike="noStrike">
                <a:solidFill>
                  <a:srgbClr val="d9d9d9"/>
                </a:solidFill>
                <a:latin typeface="Calibri"/>
              </a:defRPr>
            </a:pPr>
          </a:p>
        </c:txPr>
        <c:crossAx val="78552943"/>
        <c:crosses val="autoZero"/>
      </c:valAx>
    </c:plotArea>
    <c:plotVisOnly val="1"/>
    <c:dispBlanksAs val="gap"/>
  </c:chart>
  <c:spPr>
    <a:gradFill>
      <a:gsLst>
        <a:gs pos="0">
          <a:srgbClr val="595959"/>
        </a:gs>
        <a:gs pos="100000">
          <a:srgbClr val="262626"/>
        </a:gs>
      </a:gsLst>
      <a:path path="circle"/>
    </a:gradFill>
    <a:ln>
      <a:noFill/>
    </a:ln>
  </c:spPr>
</c:chartSpace>
</file>

<file path=word/charts/chart63.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6480">
          <a:noFill/>
        </a:ln>
      </c:spPr>
    </c:floor>
    <c:sideWall>
      <c:spPr>
        <a:noFill/>
        <a:ln w="6480">
          <a:noFill/>
        </a:ln>
      </c:spPr>
    </c:sideWall>
    <c:backWall>
      <c:spPr>
        <a:noFill/>
        <a:ln w="6480">
          <a:noFill/>
        </a:ln>
      </c:spPr>
    </c:backWall>
    <c:plotArea>
      <c:bar3DChart>
        <c:barDir val="col"/>
        <c:grouping val="stacked"/>
        <c:varyColors val="0"/>
        <c:ser>
          <c:idx val="0"/>
          <c:order val="0"/>
          <c:tx>
            <c:strRef>
              <c:f>label 0</c:f>
              <c:strCache>
                <c:ptCount val="1"/>
                <c:pt idx="0">
                  <c:v/>
                </c:pt>
              </c:strCache>
            </c:strRef>
          </c:tx>
          <c:spPr>
            <a:gradFill>
              <a:gsLst>
                <a:gs pos="0">
                  <a:srgbClr val="3574ac"/>
                </a:gs>
                <a:gs pos="100000">
                  <a:srgbClr val="4697e0"/>
                </a:gs>
              </a:gsLst>
              <a:lin ang="16200000"/>
            </a:gradFill>
            <a:ln>
              <a:noFill/>
            </a:ln>
          </c:spPr>
          <c:invertIfNegative val="0"/>
          <c:dLbls>
            <c:numFmt formatCode="General" sourceLinked="1"/>
            <c:txPr>
              <a:bodyPr/>
              <a:lstStyle/>
              <a:p>
                <a:pPr>
                  <a:defRPr b="0" sz="900" spc="-1" strike="noStrike">
                    <a:solidFill>
                      <a:srgbClr val="d9d9d9"/>
                    </a:solidFill>
                    <a:latin typeface="Calibri"/>
                  </a:defRPr>
                </a:pPr>
              </a:p>
            </c:txPr>
            <c:showLegendKey val="0"/>
            <c:showVal val="1"/>
            <c:showCatName val="0"/>
            <c:showSerName val="0"/>
            <c:showPercent val="0"/>
            <c:separator>; </c:separator>
            <c:showLeaderLines val="0"/>
          </c:dLbls>
          <c:cat>
            <c:strRef>
              <c:f>categories</c:f>
              <c:strCache>
                <c:ptCount val="5"/>
                <c:pt idx="0">
                  <c:v>Muito Baixo</c:v>
                </c:pt>
                <c:pt idx="1">
                  <c:v>Baixo</c:v>
                </c:pt>
                <c:pt idx="2">
                  <c:v>Médio</c:v>
                </c:pt>
                <c:pt idx="3">
                  <c:v>Alto</c:v>
                </c:pt>
                <c:pt idx="4">
                  <c:v>Muito Alto</c:v>
                </c:pt>
              </c:strCache>
            </c:strRef>
          </c:cat>
          <c:val>
            <c:numRef>
              <c:f>0</c:f>
              <c:numCache>
                <c:formatCode>General</c:formatCode>
                <c:ptCount val="5"/>
                <c:pt idx="0">
                  <c:v>44.9</c:v>
                </c:pt>
                <c:pt idx="1">
                  <c:v>37.8</c:v>
                </c:pt>
                <c:pt idx="2">
                  <c:v>11.9</c:v>
                </c:pt>
                <c:pt idx="3">
                  <c:v>4.3</c:v>
                </c:pt>
                <c:pt idx="4">
                  <c:v>1</c:v>
                </c:pt>
              </c:numCache>
            </c:numRef>
          </c:val>
        </c:ser>
        <c:gapWidth val="150"/>
        <c:shape val="box"/>
        <c:axId val="38421805"/>
        <c:axId val="81716428"/>
        <c:axId val="0"/>
      </c:bar3DChart>
      <c:catAx>
        <c:axId val="38421805"/>
        <c:scaling>
          <c:orientation val="minMax"/>
        </c:scaling>
        <c:delete val="0"/>
        <c:axPos val="b"/>
        <c:numFmt formatCode="[$-416]DD/MM/YYYY" sourceLinked="1"/>
        <c:majorTickMark val="none"/>
        <c:minorTickMark val="none"/>
        <c:tickLblPos val="nextTo"/>
        <c:spPr>
          <a:ln w="6480">
            <a:noFill/>
          </a:ln>
        </c:spPr>
        <c:txPr>
          <a:bodyPr/>
          <a:lstStyle/>
          <a:p>
            <a:pPr>
              <a:defRPr b="0" sz="900" spc="-1" strike="noStrike">
                <a:solidFill>
                  <a:srgbClr val="d9d9d9"/>
                </a:solidFill>
                <a:latin typeface="Calibri"/>
              </a:defRPr>
            </a:pPr>
          </a:p>
        </c:txPr>
        <c:crossAx val="81716428"/>
        <c:crosses val="autoZero"/>
        <c:auto val="1"/>
        <c:lblAlgn val="ctr"/>
        <c:lblOffset val="100"/>
      </c:catAx>
      <c:valAx>
        <c:axId val="81716428"/>
        <c:scaling>
          <c:orientation val="minMax"/>
        </c:scaling>
        <c:delete val="0"/>
        <c:axPos val="l"/>
        <c:majorGridlines>
          <c:spPr>
            <a:ln w="9360">
              <a:solidFill>
                <a:srgbClr val="808080"/>
              </a:solidFill>
              <a:round/>
            </a:ln>
          </c:spPr>
        </c:majorGridlines>
        <c:numFmt formatCode="General" sourceLinked="0"/>
        <c:majorTickMark val="none"/>
        <c:minorTickMark val="none"/>
        <c:tickLblPos val="nextTo"/>
        <c:spPr>
          <a:ln w="6480">
            <a:noFill/>
          </a:ln>
        </c:spPr>
        <c:txPr>
          <a:bodyPr/>
          <a:lstStyle/>
          <a:p>
            <a:pPr>
              <a:defRPr b="0" sz="900" spc="-1" strike="noStrike">
                <a:solidFill>
                  <a:srgbClr val="d9d9d9"/>
                </a:solidFill>
                <a:latin typeface="Calibri"/>
              </a:defRPr>
            </a:pPr>
          </a:p>
        </c:txPr>
        <c:crossAx val="38421805"/>
        <c:crosses val="autoZero"/>
      </c:valAx>
    </c:plotArea>
    <c:plotVisOnly val="1"/>
    <c:dispBlanksAs val="gap"/>
  </c:chart>
  <c:spPr>
    <a:gradFill>
      <a:gsLst>
        <a:gs pos="0">
          <a:srgbClr val="595959"/>
        </a:gs>
        <a:gs pos="100000">
          <a:srgbClr val="262626"/>
        </a:gs>
      </a:gsLst>
      <a:path path="circle"/>
    </a:gradFill>
    <a:ln>
      <a:noFill/>
    </a:ln>
  </c:spPr>
</c:chartSpace>
</file>

<file path=word/charts/chart64.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col"/>
        <c:grouping val="clustered"/>
        <c:varyColors val="0"/>
        <c:ser>
          <c:idx val="0"/>
          <c:order val="0"/>
          <c:tx>
            <c:strRef>
              <c:f>label 0</c:f>
              <c:strCache>
                <c:ptCount val="1"/>
                <c:pt idx="0">
                  <c:v>Privada</c:v>
                </c:pt>
              </c:strCache>
            </c:strRef>
          </c:tx>
          <c:spPr>
            <a:solidFill>
              <a:srgbClr val="5b9bd5">
                <a:alpha val="88000"/>
              </a:srgbClr>
            </a:solidFill>
            <a:ln>
              <a:solidFill>
                <a:srgbClr val="1f4e79"/>
              </a:solidFill>
            </a:ln>
          </c:spPr>
          <c:invertIfNegative val="0"/>
          <c:dPt>
            <c:idx val="0"/>
            <c:invertIfNegative val="0"/>
            <c:spPr>
              <a:solidFill>
                <a:srgbClr val="5b9bd5">
                  <a:alpha val="88000"/>
                </a:srgbClr>
              </a:solidFill>
              <a:ln>
                <a:solidFill>
                  <a:srgbClr val="1f4e79"/>
                </a:solidFill>
              </a:ln>
            </c:spPr>
          </c:dPt>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Lbls>
            <c:numFmt formatCode="General" sourceLinked="1"/>
            <c:dLbl>
              <c:idx val="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Muito Baixo</c:v>
                </c:pt>
                <c:pt idx="1">
                  <c:v>Baixo</c:v>
                </c:pt>
                <c:pt idx="2">
                  <c:v>Médio</c:v>
                </c:pt>
                <c:pt idx="3">
                  <c:v>Alto</c:v>
                </c:pt>
                <c:pt idx="4">
                  <c:v>Muito Alto</c:v>
                </c:pt>
              </c:strCache>
            </c:strRef>
          </c:cat>
          <c:val>
            <c:numRef>
              <c:f>0</c:f>
              <c:numCache>
                <c:formatCode>General</c:formatCode>
                <c:ptCount val="5"/>
                <c:pt idx="0">
                  <c:v>50</c:v>
                </c:pt>
                <c:pt idx="1">
                  <c:v>36.9</c:v>
                </c:pt>
                <c:pt idx="2">
                  <c:v>10.2</c:v>
                </c:pt>
                <c:pt idx="3">
                  <c:v>2.9</c:v>
                </c:pt>
                <c:pt idx="4">
                  <c:v>0</c:v>
                </c:pt>
              </c:numCache>
            </c:numRef>
          </c:val>
        </c:ser>
        <c:ser>
          <c:idx val="1"/>
          <c:order val="1"/>
          <c:tx>
            <c:strRef>
              <c:f>label 1</c:f>
              <c:strCache>
                <c:ptCount val="1"/>
                <c:pt idx="0">
                  <c:v>Pública</c:v>
                </c:pt>
              </c:strCache>
            </c:strRef>
          </c:tx>
          <c:spPr>
            <a:solidFill>
              <a:srgbClr val="ed7d31">
                <a:alpha val="88000"/>
              </a:srgbClr>
            </a:solidFill>
            <a:ln>
              <a:solidFill>
                <a:srgbClr val="843c0b"/>
              </a:solidFill>
            </a:ln>
          </c:spPr>
          <c:invertIfNegative val="0"/>
          <c:dPt>
            <c:idx val="0"/>
            <c:invertIfNegative val="0"/>
            <c:spPr>
              <a:solidFill>
                <a:srgbClr val="ed7d31">
                  <a:alpha val="88000"/>
                </a:srgbClr>
              </a:solidFill>
              <a:ln>
                <a:solidFill>
                  <a:srgbClr val="843c0b"/>
                </a:solidFill>
              </a:ln>
            </c:spPr>
          </c:dPt>
          <c:dPt>
            <c:idx val="1"/>
            <c:invertIfNegative val="0"/>
            <c:spPr>
              <a:solidFill>
                <a:srgbClr val="ed7d31">
                  <a:alpha val="88000"/>
                </a:srgbClr>
              </a:solidFill>
              <a:ln>
                <a:solidFill>
                  <a:srgbClr val="843c0b"/>
                </a:solidFill>
              </a:ln>
            </c:spPr>
          </c:dPt>
          <c:dPt>
            <c:idx val="2"/>
            <c:invertIfNegative val="0"/>
            <c:spPr>
              <a:solidFill>
                <a:srgbClr val="ed7d31">
                  <a:alpha val="88000"/>
                </a:srgbClr>
              </a:solidFill>
              <a:ln>
                <a:solidFill>
                  <a:srgbClr val="843c0b"/>
                </a:solidFill>
              </a:ln>
            </c:spPr>
          </c:dPt>
          <c:dPt>
            <c:idx val="3"/>
            <c:invertIfNegative val="0"/>
            <c:spPr>
              <a:solidFill>
                <a:srgbClr val="ed7d31">
                  <a:alpha val="88000"/>
                </a:srgbClr>
              </a:solidFill>
              <a:ln>
                <a:solidFill>
                  <a:srgbClr val="843c0b"/>
                </a:solidFill>
              </a:ln>
            </c:spPr>
          </c:dPt>
          <c:dPt>
            <c:idx val="4"/>
            <c:invertIfNegative val="0"/>
            <c:spPr>
              <a:solidFill>
                <a:srgbClr val="ed7d31">
                  <a:alpha val="88000"/>
                </a:srgbClr>
              </a:solidFill>
              <a:ln>
                <a:solidFill>
                  <a:srgbClr val="843c0b"/>
                </a:solidFill>
              </a:ln>
            </c:spPr>
          </c:dPt>
          <c:dLbls>
            <c:numFmt formatCode="General" sourceLinked="1"/>
            <c:dLbl>
              <c:idx val="0"/>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5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500" spc="-1" strike="noStrike">
                      <a:solidFill>
                        <a:srgbClr val="ffffff"/>
                      </a:solidFill>
                      <a:latin typeface="Calibri"/>
                    </a:defRPr>
                  </a:pPr>
                </a:p>
              </c:txPr>
              <c:showLegendKey val="0"/>
              <c:showVal val="1"/>
              <c:showCatName val="0"/>
              <c:showSerName val="0"/>
              <c:showPercent val="0"/>
              <c:separator>; </c:separator>
            </c:dLbl>
            <c:txPr>
              <a:bodyPr/>
              <a:lstStyle/>
              <a:p>
                <a:pPr>
                  <a:defRPr b="1" sz="5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Muito Baixo</c:v>
                </c:pt>
                <c:pt idx="1">
                  <c:v>Baixo</c:v>
                </c:pt>
                <c:pt idx="2">
                  <c:v>Médio</c:v>
                </c:pt>
                <c:pt idx="3">
                  <c:v>Alto</c:v>
                </c:pt>
                <c:pt idx="4">
                  <c:v>Muito Alto</c:v>
                </c:pt>
              </c:strCache>
            </c:strRef>
          </c:cat>
          <c:val>
            <c:numRef>
              <c:f>1</c:f>
              <c:numCache>
                <c:formatCode>General</c:formatCode>
                <c:ptCount val="5"/>
                <c:pt idx="0">
                  <c:v>14.1</c:v>
                </c:pt>
                <c:pt idx="1">
                  <c:v>43.5</c:v>
                </c:pt>
                <c:pt idx="2">
                  <c:v>22.4</c:v>
                </c:pt>
                <c:pt idx="3">
                  <c:v>12.9</c:v>
                </c:pt>
                <c:pt idx="4">
                  <c:v>7.1</c:v>
                </c:pt>
              </c:numCache>
            </c:numRef>
          </c:val>
        </c:ser>
        <c:gapWidth val="84"/>
        <c:shape val="box"/>
        <c:axId val="47148016"/>
        <c:axId val="90844752"/>
        <c:axId val="0"/>
      </c:bar3DChart>
      <c:catAx>
        <c:axId val="47148016"/>
        <c:scaling>
          <c:orientation val="minMax"/>
        </c:scaling>
        <c:delete val="0"/>
        <c:axPos val="b"/>
        <c:numFmt formatCode="[$-416]DD/MM/YYYY" sourceLinked="1"/>
        <c:majorTickMark val="none"/>
        <c:minorTickMark val="none"/>
        <c:tickLblPos val="nextTo"/>
        <c:spPr>
          <a:ln w="6480">
            <a:noFill/>
          </a:ln>
        </c:spPr>
        <c:txPr>
          <a:bodyPr/>
          <a:lstStyle/>
          <a:p>
            <a:pPr>
              <a:defRPr b="0" sz="900" spc="-1" strike="noStrike">
                <a:solidFill>
                  <a:srgbClr val="bfbfbf"/>
                </a:solidFill>
                <a:latin typeface="Calibri"/>
              </a:defRPr>
            </a:pPr>
          </a:p>
        </c:txPr>
        <c:crossAx val="90844752"/>
        <c:crosses val="autoZero"/>
        <c:auto val="1"/>
        <c:lblAlgn val="ctr"/>
        <c:lblOffset val="100"/>
      </c:catAx>
      <c:valAx>
        <c:axId val="90844752"/>
        <c:scaling>
          <c:orientation val="minMax"/>
        </c:scaling>
        <c:delete val="1"/>
        <c:axPos val="l"/>
        <c:numFmt formatCode="General"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47148016"/>
        <c:crosses val="autoZero"/>
      </c:valAx>
    </c:plotArea>
    <c:legend>
      <c:legendPos val="t"/>
      <c:overlay val="0"/>
      <c:spPr>
        <a:noFill/>
        <a:ln>
          <a:noFill/>
        </a:ln>
      </c:spPr>
      <c:txPr>
        <a:bodyPr/>
        <a:lstStyle/>
        <a:p>
          <a:pPr>
            <a:defRPr b="0" sz="900" spc="-1" strike="noStrike">
              <a:solidFill>
                <a:srgbClr val="bfbfbf"/>
              </a:solidFill>
              <a:latin typeface="Calibri"/>
            </a:defRPr>
          </a:pPr>
        </a:p>
      </c:txPr>
    </c:legend>
    <c:plotVisOnly val="1"/>
    <c:dispBlanksAs val="gap"/>
  </c:chart>
  <c:spPr>
    <a:solidFill>
      <a:srgbClr val="404040"/>
    </a:solidFill>
    <a:ln w="6480">
      <a:solidFill>
        <a:srgbClr val="8b8b8b"/>
      </a:solidFill>
      <a:round/>
    </a:ln>
  </c:spPr>
</c:chartSpace>
</file>

<file path=word/charts/chart65.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col"/>
        <c:grouping val="clustered"/>
        <c:varyColors val="0"/>
        <c:ser>
          <c:idx val="0"/>
          <c:order val="0"/>
          <c:tx>
            <c:strRef>
              <c:f>label 0</c:f>
              <c:strCache>
                <c:ptCount val="1"/>
                <c:pt idx="0">
                  <c:v>Muito Baixo</c:v>
                </c:pt>
              </c:strCache>
            </c:strRef>
          </c:tx>
          <c:spPr>
            <a:solidFill>
              <a:srgbClr val="5b9bd5">
                <a:alpha val="88000"/>
              </a:srgbClr>
            </a:solidFill>
            <a:ln>
              <a:solidFill>
                <a:srgbClr val="1f4e79"/>
              </a:solidFill>
            </a:ln>
          </c:spPr>
          <c:invertIfNegative val="0"/>
          <c:dPt>
            <c:idx val="0"/>
            <c:invertIfNegative val="0"/>
            <c:spPr>
              <a:solidFill>
                <a:srgbClr val="5b9bd5">
                  <a:alpha val="88000"/>
                </a:srgbClr>
              </a:solidFill>
              <a:ln>
                <a:solidFill>
                  <a:srgbClr val="1f4e79"/>
                </a:solidFill>
              </a:ln>
            </c:spPr>
          </c:dPt>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Lbls>
            <c:numFmt formatCode="0.0%" sourceLinked="1"/>
            <c:dLbl>
              <c:idx val="0"/>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600" spc="-1" strike="noStrike">
                      <a:solidFill>
                        <a:srgbClr val="ffffff"/>
                      </a:solidFill>
                      <a:latin typeface="Calibri"/>
                    </a:defRPr>
                  </a:pPr>
                </a:p>
              </c:txPr>
              <c:showLegendKey val="0"/>
              <c:showVal val="1"/>
              <c:showCatName val="0"/>
              <c:showSerName val="0"/>
              <c:showPercent val="0"/>
              <c:separator>; </c:separator>
            </c:dLbl>
            <c:txPr>
              <a:bodyPr/>
              <a:lstStyle/>
              <a:p>
                <a:pPr>
                  <a:defRPr b="1" sz="6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Até 10</c:v>
                </c:pt>
                <c:pt idx="1">
                  <c:v>De 11 a 50</c:v>
                </c:pt>
                <c:pt idx="2">
                  <c:v>De 51 a 100</c:v>
                </c:pt>
                <c:pt idx="3">
                  <c:v>De 101 a 400</c:v>
                </c:pt>
                <c:pt idx="4">
                  <c:v>Acima de 400</c:v>
                </c:pt>
              </c:strCache>
            </c:strRef>
          </c:cat>
          <c:val>
            <c:numRef>
              <c:f>0</c:f>
              <c:numCache>
                <c:formatCode>General</c:formatCode>
                <c:ptCount val="5"/>
                <c:pt idx="0">
                  <c:v>0.455</c:v>
                </c:pt>
                <c:pt idx="1">
                  <c:v>0.511</c:v>
                </c:pt>
                <c:pt idx="2">
                  <c:v>0.524</c:v>
                </c:pt>
                <c:pt idx="3">
                  <c:v>0.497</c:v>
                </c:pt>
                <c:pt idx="4">
                  <c:v>0.32</c:v>
                </c:pt>
              </c:numCache>
            </c:numRef>
          </c:val>
        </c:ser>
        <c:ser>
          <c:idx val="1"/>
          <c:order val="1"/>
          <c:tx>
            <c:strRef>
              <c:f>label 1</c:f>
              <c:strCache>
                <c:ptCount val="1"/>
                <c:pt idx="0">
                  <c:v>Baixo</c:v>
                </c:pt>
              </c:strCache>
            </c:strRef>
          </c:tx>
          <c:spPr>
            <a:solidFill>
              <a:srgbClr val="ed7d31">
                <a:alpha val="88000"/>
              </a:srgbClr>
            </a:solidFill>
            <a:ln>
              <a:solidFill>
                <a:srgbClr val="843c0b"/>
              </a:solidFill>
            </a:ln>
          </c:spPr>
          <c:invertIfNegative val="0"/>
          <c:dPt>
            <c:idx val="0"/>
            <c:invertIfNegative val="0"/>
            <c:spPr>
              <a:solidFill>
                <a:srgbClr val="ed7d31">
                  <a:alpha val="88000"/>
                </a:srgbClr>
              </a:solidFill>
              <a:ln>
                <a:solidFill>
                  <a:srgbClr val="843c0b"/>
                </a:solidFill>
              </a:ln>
            </c:spPr>
          </c:dPt>
          <c:dPt>
            <c:idx val="1"/>
            <c:invertIfNegative val="0"/>
            <c:spPr>
              <a:solidFill>
                <a:srgbClr val="ed7d31">
                  <a:alpha val="88000"/>
                </a:srgbClr>
              </a:solidFill>
              <a:ln>
                <a:solidFill>
                  <a:srgbClr val="843c0b"/>
                </a:solidFill>
              </a:ln>
            </c:spPr>
          </c:dPt>
          <c:dPt>
            <c:idx val="2"/>
            <c:invertIfNegative val="0"/>
            <c:spPr>
              <a:solidFill>
                <a:srgbClr val="ed7d31">
                  <a:alpha val="88000"/>
                </a:srgbClr>
              </a:solidFill>
              <a:ln>
                <a:solidFill>
                  <a:srgbClr val="843c0b"/>
                </a:solidFill>
              </a:ln>
            </c:spPr>
          </c:dPt>
          <c:dPt>
            <c:idx val="3"/>
            <c:invertIfNegative val="0"/>
            <c:spPr>
              <a:solidFill>
                <a:srgbClr val="ed7d31">
                  <a:alpha val="88000"/>
                </a:srgbClr>
              </a:solidFill>
              <a:ln>
                <a:solidFill>
                  <a:srgbClr val="843c0b"/>
                </a:solidFill>
              </a:ln>
            </c:spPr>
          </c:dPt>
          <c:dPt>
            <c:idx val="4"/>
            <c:invertIfNegative val="0"/>
            <c:spPr>
              <a:solidFill>
                <a:srgbClr val="ed7d31">
                  <a:alpha val="88000"/>
                </a:srgbClr>
              </a:solidFill>
              <a:ln>
                <a:solidFill>
                  <a:srgbClr val="843c0b"/>
                </a:solidFill>
              </a:ln>
            </c:spPr>
          </c:dPt>
          <c:dLbls>
            <c:numFmt formatCode="0.0%" sourceLinked="1"/>
            <c:dLbl>
              <c:idx val="0"/>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600" spc="-1" strike="noStrike">
                      <a:solidFill>
                        <a:srgbClr val="ffffff"/>
                      </a:solidFill>
                      <a:latin typeface="Calibri"/>
                    </a:defRPr>
                  </a:pPr>
                </a:p>
              </c:txPr>
              <c:showLegendKey val="0"/>
              <c:showVal val="1"/>
              <c:showCatName val="0"/>
              <c:showSerName val="0"/>
              <c:showPercent val="0"/>
              <c:separator>; </c:separator>
            </c:dLbl>
            <c:txPr>
              <a:bodyPr/>
              <a:lstStyle/>
              <a:p>
                <a:pPr>
                  <a:defRPr b="1" sz="6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Até 10</c:v>
                </c:pt>
                <c:pt idx="1">
                  <c:v>De 11 a 50</c:v>
                </c:pt>
                <c:pt idx="2">
                  <c:v>De 51 a 100</c:v>
                </c:pt>
                <c:pt idx="3">
                  <c:v>De 101 a 400</c:v>
                </c:pt>
                <c:pt idx="4">
                  <c:v>Acima de 400</c:v>
                </c:pt>
              </c:strCache>
            </c:strRef>
          </c:cat>
          <c:val>
            <c:numRef>
              <c:f>1</c:f>
              <c:numCache>
                <c:formatCode>General</c:formatCode>
                <c:ptCount val="5"/>
                <c:pt idx="0">
                  <c:v>0.364</c:v>
                </c:pt>
                <c:pt idx="1">
                  <c:v>0.331</c:v>
                </c:pt>
                <c:pt idx="2">
                  <c:v>0.405</c:v>
                </c:pt>
                <c:pt idx="3">
                  <c:v>0.357</c:v>
                </c:pt>
                <c:pt idx="4">
                  <c:v>0.424</c:v>
                </c:pt>
              </c:numCache>
            </c:numRef>
          </c:val>
        </c:ser>
        <c:ser>
          <c:idx val="2"/>
          <c:order val="2"/>
          <c:tx>
            <c:strRef>
              <c:f>label 2</c:f>
              <c:strCache>
                <c:ptCount val="1"/>
                <c:pt idx="0">
                  <c:v>Médio</c:v>
                </c:pt>
              </c:strCache>
            </c:strRef>
          </c:tx>
          <c:spPr>
            <a:solidFill>
              <a:srgbClr val="a5a5a5">
                <a:alpha val="88000"/>
              </a:srgbClr>
            </a:solidFill>
            <a:ln>
              <a:solidFill>
                <a:srgbClr val="535353"/>
              </a:solidFill>
            </a:ln>
          </c:spPr>
          <c:invertIfNegative val="0"/>
          <c:dPt>
            <c:idx val="0"/>
            <c:invertIfNegative val="0"/>
            <c:spPr>
              <a:solidFill>
                <a:srgbClr val="a5a5a5">
                  <a:alpha val="88000"/>
                </a:srgbClr>
              </a:solidFill>
              <a:ln>
                <a:solidFill>
                  <a:srgbClr val="535353"/>
                </a:solidFill>
              </a:ln>
            </c:spPr>
          </c:dPt>
          <c:dPt>
            <c:idx val="1"/>
            <c:invertIfNegative val="0"/>
            <c:spPr>
              <a:solidFill>
                <a:srgbClr val="a5a5a5">
                  <a:alpha val="88000"/>
                </a:srgbClr>
              </a:solidFill>
              <a:ln>
                <a:solidFill>
                  <a:srgbClr val="535353"/>
                </a:solidFill>
              </a:ln>
            </c:spPr>
          </c:dPt>
          <c:dPt>
            <c:idx val="2"/>
            <c:invertIfNegative val="0"/>
            <c:spPr>
              <a:solidFill>
                <a:srgbClr val="a5a5a5">
                  <a:alpha val="88000"/>
                </a:srgbClr>
              </a:solidFill>
              <a:ln>
                <a:solidFill>
                  <a:srgbClr val="535353"/>
                </a:solidFill>
              </a:ln>
            </c:spPr>
          </c:dPt>
          <c:dPt>
            <c:idx val="3"/>
            <c:invertIfNegative val="0"/>
            <c:spPr>
              <a:solidFill>
                <a:srgbClr val="a5a5a5">
                  <a:alpha val="88000"/>
                </a:srgbClr>
              </a:solidFill>
              <a:ln>
                <a:solidFill>
                  <a:srgbClr val="535353"/>
                </a:solidFill>
              </a:ln>
            </c:spPr>
          </c:dPt>
          <c:dPt>
            <c:idx val="4"/>
            <c:invertIfNegative val="0"/>
            <c:spPr>
              <a:solidFill>
                <a:srgbClr val="a5a5a5">
                  <a:alpha val="88000"/>
                </a:srgbClr>
              </a:solidFill>
              <a:ln>
                <a:solidFill>
                  <a:srgbClr val="535353"/>
                </a:solidFill>
              </a:ln>
            </c:spPr>
          </c:dPt>
          <c:dLbls>
            <c:numFmt formatCode="0.0%" sourceLinked="1"/>
            <c:dLbl>
              <c:idx val="0"/>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600" spc="-1" strike="noStrike">
                      <a:solidFill>
                        <a:srgbClr val="ffffff"/>
                      </a:solidFill>
                      <a:latin typeface="Calibri"/>
                    </a:defRPr>
                  </a:pPr>
                </a:p>
              </c:txPr>
              <c:showLegendKey val="0"/>
              <c:showVal val="1"/>
              <c:showCatName val="0"/>
              <c:showSerName val="0"/>
              <c:showPercent val="0"/>
              <c:separator>; </c:separator>
            </c:dLbl>
            <c:txPr>
              <a:bodyPr/>
              <a:lstStyle/>
              <a:p>
                <a:pPr>
                  <a:defRPr b="1" sz="6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Até 10</c:v>
                </c:pt>
                <c:pt idx="1">
                  <c:v>De 11 a 50</c:v>
                </c:pt>
                <c:pt idx="2">
                  <c:v>De 51 a 100</c:v>
                </c:pt>
                <c:pt idx="3">
                  <c:v>De 101 a 400</c:v>
                </c:pt>
                <c:pt idx="4">
                  <c:v>Acima de 400</c:v>
                </c:pt>
              </c:strCache>
            </c:strRef>
          </c:cat>
          <c:val>
            <c:numRef>
              <c:f>2</c:f>
              <c:numCache>
                <c:formatCode>General</c:formatCode>
                <c:ptCount val="5"/>
                <c:pt idx="0">
                  <c:v>0.167</c:v>
                </c:pt>
                <c:pt idx="1">
                  <c:v>0.115</c:v>
                </c:pt>
                <c:pt idx="2">
                  <c:v>0.06</c:v>
                </c:pt>
                <c:pt idx="3">
                  <c:v>0.091</c:v>
                </c:pt>
                <c:pt idx="4">
                  <c:v>0.157</c:v>
                </c:pt>
              </c:numCache>
            </c:numRef>
          </c:val>
        </c:ser>
        <c:ser>
          <c:idx val="3"/>
          <c:order val="3"/>
          <c:tx>
            <c:strRef>
              <c:f>label 3</c:f>
              <c:strCache>
                <c:ptCount val="1"/>
                <c:pt idx="0">
                  <c:v>Alto</c:v>
                </c:pt>
              </c:strCache>
            </c:strRef>
          </c:tx>
          <c:spPr>
            <a:solidFill>
              <a:srgbClr val="ffc000">
                <a:alpha val="88000"/>
              </a:srgbClr>
            </a:solidFill>
            <a:ln>
              <a:solidFill>
                <a:srgbClr val="806000"/>
              </a:solidFill>
            </a:ln>
          </c:spPr>
          <c:invertIfNegative val="0"/>
          <c:dPt>
            <c:idx val="0"/>
            <c:invertIfNegative val="0"/>
            <c:spPr>
              <a:solidFill>
                <a:srgbClr val="ffc000">
                  <a:alpha val="88000"/>
                </a:srgbClr>
              </a:solidFill>
              <a:ln>
                <a:solidFill>
                  <a:srgbClr val="806000"/>
                </a:solidFill>
              </a:ln>
            </c:spPr>
          </c:dPt>
          <c:dPt>
            <c:idx val="1"/>
            <c:invertIfNegative val="0"/>
            <c:spPr>
              <a:solidFill>
                <a:srgbClr val="ffc000">
                  <a:alpha val="88000"/>
                </a:srgbClr>
              </a:solidFill>
              <a:ln>
                <a:solidFill>
                  <a:srgbClr val="806000"/>
                </a:solidFill>
              </a:ln>
            </c:spPr>
          </c:dPt>
          <c:dPt>
            <c:idx val="2"/>
            <c:invertIfNegative val="0"/>
            <c:spPr>
              <a:solidFill>
                <a:srgbClr val="ffc000">
                  <a:alpha val="88000"/>
                </a:srgbClr>
              </a:solidFill>
              <a:ln>
                <a:solidFill>
                  <a:srgbClr val="806000"/>
                </a:solidFill>
              </a:ln>
            </c:spPr>
          </c:dPt>
          <c:dPt>
            <c:idx val="3"/>
            <c:invertIfNegative val="0"/>
            <c:spPr>
              <a:solidFill>
                <a:srgbClr val="ffc000">
                  <a:alpha val="88000"/>
                </a:srgbClr>
              </a:solidFill>
              <a:ln>
                <a:solidFill>
                  <a:srgbClr val="806000"/>
                </a:solidFill>
              </a:ln>
            </c:spPr>
          </c:dPt>
          <c:dPt>
            <c:idx val="4"/>
            <c:invertIfNegative val="0"/>
            <c:spPr>
              <a:solidFill>
                <a:srgbClr val="ffc000">
                  <a:alpha val="88000"/>
                </a:srgbClr>
              </a:solidFill>
              <a:ln>
                <a:solidFill>
                  <a:srgbClr val="806000"/>
                </a:solidFill>
              </a:ln>
            </c:spPr>
          </c:dPt>
          <c:dLbls>
            <c:numFmt formatCode="0.0%" sourceLinked="1"/>
            <c:dLbl>
              <c:idx val="0"/>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600" spc="-1" strike="noStrike">
                      <a:solidFill>
                        <a:srgbClr val="ffffff"/>
                      </a:solidFill>
                      <a:latin typeface="Calibri"/>
                    </a:defRPr>
                  </a:pPr>
                </a:p>
              </c:txPr>
              <c:showLegendKey val="0"/>
              <c:showVal val="1"/>
              <c:showCatName val="0"/>
              <c:showSerName val="0"/>
              <c:showPercent val="0"/>
              <c:separator>; </c:separator>
            </c:dLbl>
            <c:txPr>
              <a:bodyPr/>
              <a:lstStyle/>
              <a:p>
                <a:pPr>
                  <a:defRPr b="1" sz="6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Até 10</c:v>
                </c:pt>
                <c:pt idx="1">
                  <c:v>De 11 a 50</c:v>
                </c:pt>
                <c:pt idx="2">
                  <c:v>De 51 a 100</c:v>
                </c:pt>
                <c:pt idx="3">
                  <c:v>De 101 a 400</c:v>
                </c:pt>
                <c:pt idx="4">
                  <c:v>Acima de 400</c:v>
                </c:pt>
              </c:strCache>
            </c:strRef>
          </c:cat>
          <c:val>
            <c:numRef>
              <c:f>3</c:f>
              <c:numCache>
                <c:formatCode>General</c:formatCode>
                <c:ptCount val="5"/>
                <c:pt idx="0">
                  <c:v>0.015</c:v>
                </c:pt>
                <c:pt idx="1">
                  <c:v>0.036</c:v>
                </c:pt>
                <c:pt idx="2">
                  <c:v>0.012</c:v>
                </c:pt>
                <c:pt idx="3">
                  <c:v>0.035</c:v>
                </c:pt>
                <c:pt idx="4">
                  <c:v>0.081</c:v>
                </c:pt>
              </c:numCache>
            </c:numRef>
          </c:val>
        </c:ser>
        <c:ser>
          <c:idx val="4"/>
          <c:order val="4"/>
          <c:tx>
            <c:strRef>
              <c:f>label 4</c:f>
              <c:strCache>
                <c:ptCount val="1"/>
                <c:pt idx="0">
                  <c:v>Muito Alto</c:v>
                </c:pt>
              </c:strCache>
            </c:strRef>
          </c:tx>
          <c:spPr>
            <a:solidFill>
              <a:srgbClr val="4472c4">
                <a:alpha val="88000"/>
              </a:srgbClr>
            </a:solidFill>
            <a:ln>
              <a:solidFill>
                <a:srgbClr val="203864"/>
              </a:solidFill>
            </a:ln>
          </c:spPr>
          <c:invertIfNegative val="0"/>
          <c:dLbls>
            <c:numFmt formatCode="0.0%" sourceLinked="1"/>
            <c:txPr>
              <a:bodyPr/>
              <a:lstStyle/>
              <a:p>
                <a:pPr>
                  <a:defRPr b="1" sz="6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Até 10</c:v>
                </c:pt>
                <c:pt idx="1">
                  <c:v>De 11 a 50</c:v>
                </c:pt>
                <c:pt idx="2">
                  <c:v>De 51 a 100</c:v>
                </c:pt>
                <c:pt idx="3">
                  <c:v>De 101 a 400</c:v>
                </c:pt>
                <c:pt idx="4">
                  <c:v>Acima de 400</c:v>
                </c:pt>
              </c:strCache>
            </c:strRef>
          </c:cat>
          <c:val>
            <c:numRef>
              <c:f>4</c:f>
              <c:numCache>
                <c:formatCode>General</c:formatCode>
                <c:ptCount val="5"/>
                <c:pt idx="0">
                  <c:v>0</c:v>
                </c:pt>
                <c:pt idx="1">
                  <c:v>0</c:v>
                </c:pt>
                <c:pt idx="2">
                  <c:v>0</c:v>
                </c:pt>
                <c:pt idx="3">
                  <c:v>0.021</c:v>
                </c:pt>
                <c:pt idx="4">
                  <c:v>0.017</c:v>
                </c:pt>
              </c:numCache>
            </c:numRef>
          </c:val>
        </c:ser>
        <c:gapWidth val="84"/>
        <c:shape val="box"/>
        <c:axId val="26872519"/>
        <c:axId val="49174801"/>
        <c:axId val="0"/>
      </c:bar3DChart>
      <c:catAx>
        <c:axId val="26872519"/>
        <c:scaling>
          <c:orientation val="minMax"/>
        </c:scaling>
        <c:delete val="0"/>
        <c:axPos val="b"/>
        <c:numFmt formatCode="[$-416]DD/MM/YYYY" sourceLinked="1"/>
        <c:majorTickMark val="none"/>
        <c:minorTickMark val="none"/>
        <c:tickLblPos val="nextTo"/>
        <c:spPr>
          <a:ln w="6480">
            <a:noFill/>
          </a:ln>
        </c:spPr>
        <c:txPr>
          <a:bodyPr/>
          <a:lstStyle/>
          <a:p>
            <a:pPr>
              <a:defRPr b="0" sz="900" spc="-1" strike="noStrike">
                <a:solidFill>
                  <a:srgbClr val="bfbfbf"/>
                </a:solidFill>
                <a:latin typeface="Calibri"/>
              </a:defRPr>
            </a:pPr>
          </a:p>
        </c:txPr>
        <c:crossAx val="49174801"/>
        <c:crosses val="autoZero"/>
        <c:auto val="1"/>
        <c:lblAlgn val="ctr"/>
        <c:lblOffset val="100"/>
      </c:catAx>
      <c:valAx>
        <c:axId val="49174801"/>
        <c:scaling>
          <c:orientation val="minMax"/>
        </c:scaling>
        <c:delete val="1"/>
        <c:axPos val="l"/>
        <c:numFmt formatCode="0.0%"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26872519"/>
        <c:crosses val="autoZero"/>
      </c:valAx>
    </c:plotArea>
    <c:legend>
      <c:legendPos val="t"/>
      <c:overlay val="0"/>
      <c:spPr>
        <a:noFill/>
        <a:ln>
          <a:noFill/>
        </a:ln>
      </c:spPr>
      <c:txPr>
        <a:bodyPr/>
        <a:lstStyle/>
        <a:p>
          <a:pPr>
            <a:defRPr b="0" sz="900" spc="-1" strike="noStrike">
              <a:solidFill>
                <a:srgbClr val="bfbfbf"/>
              </a:solidFill>
              <a:latin typeface="Calibri"/>
            </a:defRPr>
          </a:pPr>
        </a:p>
      </c:txPr>
    </c:legend>
    <c:plotVisOnly val="1"/>
    <c:dispBlanksAs val="gap"/>
  </c:chart>
  <c:spPr>
    <a:solidFill>
      <a:srgbClr val="404040"/>
    </a:solidFill>
    <a:ln w="6480">
      <a:solidFill>
        <a:srgbClr val="8b8b8b"/>
      </a:solidFill>
      <a:round/>
    </a:ln>
  </c:spPr>
</c:chartSpace>
</file>

<file path=word/charts/chart66.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afabab">
            <a:alpha val="27000"/>
          </a:srgbClr>
        </a:solidFill>
        <a:ln w="6480">
          <a:noFill/>
        </a:ln>
      </c:spPr>
    </c:floor>
    <c:sideWall>
      <c:spPr>
        <a:noFill/>
        <a:ln w="6480">
          <a:noFill/>
        </a:ln>
      </c:spPr>
    </c:sideWall>
    <c:backWall>
      <c:spPr>
        <a:noFill/>
        <a:ln w="6480">
          <a:noFill/>
        </a:ln>
      </c:spPr>
    </c:backWall>
    <c:plotArea>
      <c:bar3DChart>
        <c:barDir val="col"/>
        <c:grouping val="clustered"/>
        <c:varyColors val="0"/>
        <c:ser>
          <c:idx val="0"/>
          <c:order val="0"/>
          <c:tx>
            <c:strRef>
              <c:f>label 0</c:f>
              <c:strCache>
                <c:ptCount val="1"/>
                <c:pt idx="0">
                  <c:v>Feminino</c:v>
                </c:pt>
              </c:strCache>
            </c:strRef>
          </c:tx>
          <c:spPr>
            <a:solidFill>
              <a:srgbClr val="5b9bd5">
                <a:alpha val="88000"/>
              </a:srgbClr>
            </a:solidFill>
            <a:ln>
              <a:solidFill>
                <a:srgbClr val="1f4e79"/>
              </a:solidFill>
            </a:ln>
          </c:spPr>
          <c:invertIfNegative val="0"/>
          <c:dPt>
            <c:idx val="0"/>
            <c:invertIfNegative val="0"/>
            <c:spPr>
              <a:solidFill>
                <a:srgbClr val="5b9bd5">
                  <a:alpha val="88000"/>
                </a:srgbClr>
              </a:solidFill>
              <a:ln>
                <a:solidFill>
                  <a:srgbClr val="1f4e79"/>
                </a:solidFill>
              </a:ln>
            </c:spPr>
          </c:dPt>
          <c:dPt>
            <c:idx val="1"/>
            <c:invertIfNegative val="0"/>
            <c:spPr>
              <a:solidFill>
                <a:srgbClr val="5b9bd5">
                  <a:alpha val="88000"/>
                </a:srgbClr>
              </a:solidFill>
              <a:ln>
                <a:solidFill>
                  <a:srgbClr val="1f4e79"/>
                </a:solidFill>
              </a:ln>
            </c:spPr>
          </c:dPt>
          <c:dPt>
            <c:idx val="2"/>
            <c:invertIfNegative val="0"/>
            <c:spPr>
              <a:solidFill>
                <a:srgbClr val="5b9bd5">
                  <a:alpha val="88000"/>
                </a:srgbClr>
              </a:solidFill>
              <a:ln>
                <a:solidFill>
                  <a:srgbClr val="1f4e79"/>
                </a:solidFill>
              </a:ln>
            </c:spPr>
          </c:dPt>
          <c:dPt>
            <c:idx val="3"/>
            <c:invertIfNegative val="0"/>
            <c:spPr>
              <a:solidFill>
                <a:srgbClr val="5b9bd5">
                  <a:alpha val="88000"/>
                </a:srgbClr>
              </a:solidFill>
              <a:ln>
                <a:solidFill>
                  <a:srgbClr val="1f4e79"/>
                </a:solidFill>
              </a:ln>
            </c:spPr>
          </c:dPt>
          <c:dPt>
            <c:idx val="4"/>
            <c:invertIfNegative val="0"/>
            <c:spPr>
              <a:solidFill>
                <a:srgbClr val="5b9bd5">
                  <a:alpha val="88000"/>
                </a:srgbClr>
              </a:solidFill>
              <a:ln>
                <a:solidFill>
                  <a:srgbClr val="1f4e79"/>
                </a:solidFill>
              </a:ln>
            </c:spPr>
          </c:dPt>
          <c:dLbls>
            <c:numFmt formatCode="General" sourceLinked="1"/>
            <c:dLbl>
              <c:idx val="0"/>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600" spc="-1" strike="noStrike">
                      <a:solidFill>
                        <a:srgbClr val="ffffff"/>
                      </a:solidFill>
                      <a:latin typeface="Calibri"/>
                    </a:defRPr>
                  </a:pPr>
                </a:p>
              </c:txPr>
              <c:showLegendKey val="0"/>
              <c:showVal val="1"/>
              <c:showCatName val="0"/>
              <c:showSerName val="0"/>
              <c:showPercent val="0"/>
              <c:separator>; </c:separator>
            </c:dLbl>
            <c:txPr>
              <a:bodyPr/>
              <a:lstStyle/>
              <a:p>
                <a:pPr>
                  <a:defRPr b="1" sz="6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Muito Baixo</c:v>
                </c:pt>
                <c:pt idx="1">
                  <c:v>Baixo</c:v>
                </c:pt>
                <c:pt idx="2">
                  <c:v>Médio</c:v>
                </c:pt>
                <c:pt idx="3">
                  <c:v>Alto</c:v>
                </c:pt>
                <c:pt idx="4">
                  <c:v>Muito Alto</c:v>
                </c:pt>
              </c:strCache>
            </c:strRef>
          </c:cat>
          <c:val>
            <c:numRef>
              <c:f>0</c:f>
              <c:numCache>
                <c:formatCode>General</c:formatCode>
                <c:ptCount val="5"/>
                <c:pt idx="0">
                  <c:v>54.2</c:v>
                </c:pt>
                <c:pt idx="1">
                  <c:v>29.4</c:v>
                </c:pt>
                <c:pt idx="2">
                  <c:v>11.3</c:v>
                </c:pt>
                <c:pt idx="3">
                  <c:v>4</c:v>
                </c:pt>
                <c:pt idx="4">
                  <c:v>1.1</c:v>
                </c:pt>
              </c:numCache>
            </c:numRef>
          </c:val>
        </c:ser>
        <c:ser>
          <c:idx val="1"/>
          <c:order val="1"/>
          <c:tx>
            <c:strRef>
              <c:f>label 1</c:f>
              <c:strCache>
                <c:ptCount val="1"/>
                <c:pt idx="0">
                  <c:v>Masculino</c:v>
                </c:pt>
              </c:strCache>
            </c:strRef>
          </c:tx>
          <c:spPr>
            <a:solidFill>
              <a:srgbClr val="ed7d31">
                <a:alpha val="88000"/>
              </a:srgbClr>
            </a:solidFill>
            <a:ln>
              <a:solidFill>
                <a:srgbClr val="843c0b"/>
              </a:solidFill>
            </a:ln>
          </c:spPr>
          <c:invertIfNegative val="0"/>
          <c:dPt>
            <c:idx val="0"/>
            <c:invertIfNegative val="0"/>
            <c:spPr>
              <a:solidFill>
                <a:srgbClr val="ed7d31">
                  <a:alpha val="88000"/>
                </a:srgbClr>
              </a:solidFill>
              <a:ln>
                <a:solidFill>
                  <a:srgbClr val="843c0b"/>
                </a:solidFill>
              </a:ln>
            </c:spPr>
          </c:dPt>
          <c:dPt>
            <c:idx val="1"/>
            <c:invertIfNegative val="0"/>
            <c:spPr>
              <a:solidFill>
                <a:srgbClr val="ed7d31">
                  <a:alpha val="88000"/>
                </a:srgbClr>
              </a:solidFill>
              <a:ln>
                <a:solidFill>
                  <a:srgbClr val="843c0b"/>
                </a:solidFill>
              </a:ln>
            </c:spPr>
          </c:dPt>
          <c:dPt>
            <c:idx val="2"/>
            <c:invertIfNegative val="0"/>
            <c:spPr>
              <a:solidFill>
                <a:srgbClr val="ed7d31">
                  <a:alpha val="88000"/>
                </a:srgbClr>
              </a:solidFill>
              <a:ln>
                <a:solidFill>
                  <a:srgbClr val="843c0b"/>
                </a:solidFill>
              </a:ln>
            </c:spPr>
          </c:dPt>
          <c:dPt>
            <c:idx val="3"/>
            <c:invertIfNegative val="0"/>
            <c:spPr>
              <a:solidFill>
                <a:srgbClr val="ed7d31">
                  <a:alpha val="88000"/>
                </a:srgbClr>
              </a:solidFill>
              <a:ln>
                <a:solidFill>
                  <a:srgbClr val="843c0b"/>
                </a:solidFill>
              </a:ln>
            </c:spPr>
          </c:dPt>
          <c:dPt>
            <c:idx val="4"/>
            <c:invertIfNegative val="0"/>
            <c:spPr>
              <a:solidFill>
                <a:srgbClr val="ed7d31">
                  <a:alpha val="88000"/>
                </a:srgbClr>
              </a:solidFill>
              <a:ln>
                <a:solidFill>
                  <a:srgbClr val="843c0b"/>
                </a:solidFill>
              </a:ln>
            </c:spPr>
          </c:dPt>
          <c:dLbls>
            <c:numFmt formatCode="General" sourceLinked="1"/>
            <c:dLbl>
              <c:idx val="0"/>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1"/>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2"/>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3"/>
              <c:txPr>
                <a:bodyPr/>
                <a:lstStyle/>
                <a:p>
                  <a:pPr>
                    <a:defRPr b="1" sz="600" spc="-1" strike="noStrike">
                      <a:solidFill>
                        <a:srgbClr val="ffffff"/>
                      </a:solidFill>
                      <a:latin typeface="Calibri"/>
                    </a:defRPr>
                  </a:pPr>
                </a:p>
              </c:txPr>
              <c:showLegendKey val="0"/>
              <c:showVal val="1"/>
              <c:showCatName val="0"/>
              <c:showSerName val="0"/>
              <c:showPercent val="0"/>
              <c:separator>; </c:separator>
            </c:dLbl>
            <c:dLbl>
              <c:idx val="4"/>
              <c:txPr>
                <a:bodyPr/>
                <a:lstStyle/>
                <a:p>
                  <a:pPr>
                    <a:defRPr b="1" sz="600" spc="-1" strike="noStrike">
                      <a:solidFill>
                        <a:srgbClr val="ffffff"/>
                      </a:solidFill>
                      <a:latin typeface="Calibri"/>
                    </a:defRPr>
                  </a:pPr>
                </a:p>
              </c:txPr>
              <c:showLegendKey val="0"/>
              <c:showVal val="1"/>
              <c:showCatName val="0"/>
              <c:showSerName val="0"/>
              <c:showPercent val="0"/>
              <c:separator>; </c:separator>
            </c:dLbl>
            <c:txPr>
              <a:bodyPr/>
              <a:lstStyle/>
              <a:p>
                <a:pPr>
                  <a:defRPr b="1" sz="600" spc="-1" strike="noStrike">
                    <a:solidFill>
                      <a:srgbClr val="ffffff"/>
                    </a:solidFill>
                    <a:latin typeface="Calibri"/>
                  </a:defRPr>
                </a:pPr>
              </a:p>
            </c:txPr>
            <c:showLegendKey val="0"/>
            <c:showVal val="1"/>
            <c:showCatName val="0"/>
            <c:showSerName val="0"/>
            <c:showPercent val="0"/>
            <c:separator>; </c:separator>
            <c:showLeaderLines val="0"/>
          </c:dLbls>
          <c:cat>
            <c:strRef>
              <c:f>categories</c:f>
              <c:strCache>
                <c:ptCount val="5"/>
                <c:pt idx="0">
                  <c:v>Muito Baixo</c:v>
                </c:pt>
                <c:pt idx="1">
                  <c:v>Baixo</c:v>
                </c:pt>
                <c:pt idx="2">
                  <c:v>Médio</c:v>
                </c:pt>
                <c:pt idx="3">
                  <c:v>Alto</c:v>
                </c:pt>
                <c:pt idx="4">
                  <c:v>Muito Alto</c:v>
                </c:pt>
              </c:strCache>
            </c:strRef>
          </c:cat>
          <c:val>
            <c:numRef>
              <c:f>1</c:f>
              <c:numCache>
                <c:formatCode>General</c:formatCode>
                <c:ptCount val="5"/>
                <c:pt idx="0">
                  <c:v>41.1</c:v>
                </c:pt>
                <c:pt idx="1">
                  <c:v>41.3</c:v>
                </c:pt>
                <c:pt idx="2">
                  <c:v>12.2</c:v>
                </c:pt>
                <c:pt idx="3">
                  <c:v>4.5</c:v>
                </c:pt>
                <c:pt idx="4">
                  <c:v>0.9</c:v>
                </c:pt>
              </c:numCache>
            </c:numRef>
          </c:val>
        </c:ser>
        <c:gapWidth val="84"/>
        <c:shape val="box"/>
        <c:axId val="97150129"/>
        <c:axId val="45786751"/>
        <c:axId val="0"/>
      </c:bar3DChart>
      <c:catAx>
        <c:axId val="97150129"/>
        <c:scaling>
          <c:orientation val="minMax"/>
        </c:scaling>
        <c:delete val="0"/>
        <c:axPos val="b"/>
        <c:numFmt formatCode="[$-416]DD/MM/YYYY" sourceLinked="1"/>
        <c:majorTickMark val="none"/>
        <c:minorTickMark val="none"/>
        <c:tickLblPos val="nextTo"/>
        <c:spPr>
          <a:ln w="6480">
            <a:noFill/>
          </a:ln>
        </c:spPr>
        <c:txPr>
          <a:bodyPr/>
          <a:lstStyle/>
          <a:p>
            <a:pPr>
              <a:defRPr b="0" sz="900" spc="-1" strike="noStrike">
                <a:solidFill>
                  <a:srgbClr val="bfbfbf"/>
                </a:solidFill>
                <a:latin typeface="Calibri"/>
              </a:defRPr>
            </a:pPr>
          </a:p>
        </c:txPr>
        <c:crossAx val="45786751"/>
        <c:crosses val="autoZero"/>
        <c:auto val="1"/>
        <c:lblAlgn val="ctr"/>
        <c:lblOffset val="100"/>
      </c:catAx>
      <c:valAx>
        <c:axId val="45786751"/>
        <c:scaling>
          <c:orientation val="minMax"/>
        </c:scaling>
        <c:delete val="1"/>
        <c:axPos val="l"/>
        <c:numFmt formatCode="General"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97150129"/>
        <c:crosses val="autoZero"/>
      </c:valAx>
    </c:plotArea>
    <c:legend>
      <c:legendPos val="t"/>
      <c:overlay val="0"/>
      <c:spPr>
        <a:noFill/>
        <a:ln>
          <a:noFill/>
        </a:ln>
      </c:spPr>
      <c:txPr>
        <a:bodyPr/>
        <a:lstStyle/>
        <a:p>
          <a:pPr>
            <a:defRPr b="0" sz="900" spc="-1" strike="noStrike">
              <a:solidFill>
                <a:srgbClr val="bfbfbf"/>
              </a:solidFill>
              <a:latin typeface="Calibri"/>
            </a:defRPr>
          </a:pPr>
        </a:p>
      </c:txPr>
    </c:legend>
    <c:plotVisOnly val="1"/>
    <c:dispBlanksAs val="gap"/>
  </c:chart>
  <c:spPr>
    <a:solidFill>
      <a:srgbClr val="404040"/>
    </a:solidFill>
    <a:ln w="6480">
      <a:solidFill>
        <a:srgbClr val="8b8b8b"/>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layout>
        <c:manualLayout>
          <c:layoutTarget val="inner"/>
          <c:xMode val="edge"/>
          <c:yMode val="edge"/>
          <c:x val="0.0385625"/>
          <c:y val="0.0538888888888889"/>
          <c:w val="0.68425"/>
          <c:h val="0.892111111111111"/>
        </c:manualLayout>
      </c:layout>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Pt>
            <c:idx val="4"/>
            <c:spPr>
              <a:solidFill>
                <a:srgbClr val="4472c4"/>
              </a:solidFill>
              <a:ln>
                <a:noFill/>
              </a:ln>
            </c:spPr>
          </c:dPt>
          <c:dPt>
            <c:idx val="5"/>
            <c:spPr>
              <a:solidFill>
                <a:srgbClr val="70ad47"/>
              </a:solidFill>
              <a:ln>
                <a:noFill/>
              </a:ln>
            </c:spPr>
          </c:dPt>
          <c:dPt>
            <c:idx val="6"/>
            <c:spPr>
              <a:solidFill>
                <a:srgbClr val="255e91"/>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4"/>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5"/>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6"/>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7"/>
                <c:pt idx="0">
                  <c:v>Parda</c:v>
                </c:pt>
                <c:pt idx="1">
                  <c:v>Branca</c:v>
                </c:pt>
                <c:pt idx="2">
                  <c:v>Preta</c:v>
                </c:pt>
                <c:pt idx="3">
                  <c:v>Amarela</c:v>
                </c:pt>
                <c:pt idx="4">
                  <c:v>Negra</c:v>
                </c:pt>
                <c:pt idx="5">
                  <c:v>Morena</c:v>
                </c:pt>
                <c:pt idx="6">
                  <c:v>Não quis responder</c:v>
                </c:pt>
              </c:strCache>
            </c:strRef>
          </c:cat>
          <c:val>
            <c:numRef>
              <c:f>0</c:f>
              <c:numCache>
                <c:formatCode>General</c:formatCode>
                <c:ptCount val="7"/>
                <c:pt idx="0">
                  <c:v>0.487</c:v>
                </c:pt>
                <c:pt idx="1">
                  <c:v>0.358</c:v>
                </c:pt>
                <c:pt idx="2">
                  <c:v>0.099</c:v>
                </c:pt>
                <c:pt idx="3">
                  <c:v>0.038</c:v>
                </c:pt>
                <c:pt idx="4">
                  <c:v>0.002</c:v>
                </c:pt>
                <c:pt idx="5">
                  <c:v>0.007</c:v>
                </c:pt>
                <c:pt idx="6">
                  <c:v>0.01</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layout>
        <c:manualLayout>
          <c:layoutTarget val="inner"/>
          <c:xMode val="edge"/>
          <c:yMode val="edge"/>
          <c:x val="0.0323125"/>
          <c:y val="0.0643333333333333"/>
          <c:w val="0.593375"/>
          <c:h val="0.882111111111111"/>
        </c:manualLayout>
      </c:layout>
      <c:pie3D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Pt>
            <c:idx val="4"/>
            <c:spPr>
              <a:solidFill>
                <a:srgbClr val="4472c4"/>
              </a:solidFill>
              <a:ln>
                <a:noFill/>
              </a:ln>
            </c:spPr>
          </c:dPt>
          <c:dPt>
            <c:idx val="5"/>
            <c:spPr>
              <a:solidFill>
                <a:srgbClr val="70ad47"/>
              </a:solidFill>
              <a:ln>
                <a:noFill/>
              </a:ln>
            </c:spPr>
          </c:dPt>
          <c:dPt>
            <c:idx val="6"/>
            <c:spPr>
              <a:solidFill>
                <a:srgbClr val="255e91"/>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4"/>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5"/>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6"/>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7"/>
                <c:pt idx="0">
                  <c:v>Médio ou técnico incompleto</c:v>
                </c:pt>
                <c:pt idx="1">
                  <c:v>Médio ou técnico completo</c:v>
                </c:pt>
                <c:pt idx="2">
                  <c:v>Superior incompleto</c:v>
                </c:pt>
                <c:pt idx="3">
                  <c:v>Superior completo</c:v>
                </c:pt>
                <c:pt idx="4">
                  <c:v>Especialização</c:v>
                </c:pt>
                <c:pt idx="5">
                  <c:v>Mestrado</c:v>
                </c:pt>
                <c:pt idx="6">
                  <c:v>Doutorado</c:v>
                </c:pt>
              </c:strCache>
            </c:strRef>
          </c:cat>
          <c:val>
            <c:numRef>
              <c:f>0</c:f>
              <c:numCache>
                <c:formatCode>General</c:formatCode>
                <c:ptCount val="7"/>
                <c:pt idx="0">
                  <c:v>0.022</c:v>
                </c:pt>
                <c:pt idx="1">
                  <c:v>0.086</c:v>
                </c:pt>
                <c:pt idx="2">
                  <c:v>0.25</c:v>
                </c:pt>
                <c:pt idx="3">
                  <c:v>0.422</c:v>
                </c:pt>
                <c:pt idx="4">
                  <c:v>0.142</c:v>
                </c:pt>
                <c:pt idx="5">
                  <c:v>0.075</c:v>
                </c:pt>
                <c:pt idx="6">
                  <c:v>0.003</c:v>
                </c:pt>
              </c:numCache>
            </c:numRef>
          </c:val>
        </c:ser>
      </c:pie3DChart>
    </c:plotArea>
    <c:legend>
      <c:legendPos val="r"/>
      <c:overlay val="0"/>
      <c:spPr>
        <a:solidFill>
          <a:srgbClr val="f2f2f2">
            <a:alpha val="39000"/>
          </a:srgbClr>
        </a:solidFill>
        <a:ln>
          <a:noFill/>
        </a:ln>
      </c:spPr>
      <c:txPr>
        <a:bodyPr/>
        <a:lstStyle/>
        <a:p>
          <a:pPr>
            <a:defRPr b="0" sz="8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1"/>
          <c:dPt>
            <c:idx val="0"/>
            <c:explosion val="1"/>
            <c:spPr>
              <a:solidFill>
                <a:srgbClr val="5b9bd5"/>
              </a:solidFill>
              <a:ln>
                <a:noFill/>
              </a:ln>
            </c:spPr>
          </c:dPt>
          <c:dPt>
            <c:idx val="1"/>
            <c:explosion val="1"/>
            <c:spPr>
              <a:solidFill>
                <a:srgbClr val="ed7d31"/>
              </a:solidFill>
              <a:ln>
                <a:noFill/>
              </a:ln>
            </c:spPr>
          </c:dPt>
          <c:dPt>
            <c:idx val="2"/>
            <c:explosion val="1"/>
            <c:spPr>
              <a:solidFill>
                <a:srgbClr val="a5a5a5"/>
              </a:solidFill>
              <a:ln>
                <a:noFill/>
              </a:ln>
            </c:spPr>
          </c:dPt>
          <c:dPt>
            <c:idx val="3"/>
            <c:explosion val="1"/>
            <c:spPr>
              <a:solidFill>
                <a:srgbClr val="ffc000"/>
              </a:solidFill>
              <a:ln>
                <a:noFill/>
              </a:ln>
            </c:spPr>
          </c:dPt>
          <c:dPt>
            <c:idx val="4"/>
            <c:explosion val="1"/>
            <c:spPr>
              <a:solidFill>
                <a:srgbClr val="4472c4"/>
              </a:solidFill>
              <a:ln>
                <a:noFill/>
              </a:ln>
            </c:spPr>
          </c:dPt>
          <c:dPt>
            <c:idx val="5"/>
            <c:explosion val="1"/>
            <c:spPr>
              <a:solidFill>
                <a:srgbClr val="70ad47"/>
              </a:solidFill>
              <a:ln>
                <a:noFill/>
              </a:ln>
            </c:spPr>
          </c:dPt>
          <c:dPt>
            <c:idx val="6"/>
            <c:explosion val="1"/>
            <c:spPr>
              <a:solidFill>
                <a:srgbClr val="255e91"/>
              </a:solidFill>
              <a:ln>
                <a:noFill/>
              </a:ln>
            </c:spPr>
          </c:dPt>
          <c:dLbls>
            <c:numFmt formatCode="0.0%" sourceLinked="1"/>
            <c:dLbl>
              <c:idx val="0"/>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1"/>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2"/>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3"/>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4"/>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5"/>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dLbl>
              <c:idx val="6"/>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dLbl>
            <c:txPr>
              <a:bodyPr/>
              <a:lstStyle/>
              <a:p>
                <a:pPr>
                  <a:defRPr b="1" sz="500" spc="-1" strike="noStrike">
                    <a:solidFill>
                      <a:srgbClr val="ffffff"/>
                    </a:solidFill>
                    <a:latin typeface="Calibri"/>
                  </a:defRPr>
                </a:pPr>
              </a:p>
            </c:txPr>
            <c:dLblPos val="ctr"/>
            <c:showLegendKey val="0"/>
            <c:showVal val="0"/>
            <c:showCatName val="0"/>
            <c:showSerName val="0"/>
            <c:showPercent val="1"/>
            <c:separator>
</c:separator>
            <c:showLeaderLines val="0"/>
          </c:dLbls>
          <c:cat>
            <c:strRef>
              <c:f>categories</c:f>
              <c:strCache>
                <c:ptCount val="7"/>
                <c:pt idx="0">
                  <c:v>Funções não técnicas sem atuação em TI</c:v>
                </c:pt>
                <c:pt idx="1">
                  <c:v>Funções não técnicas com atuação em TI</c:v>
                </c:pt>
                <c:pt idx="2">
                  <c:v>Funções técnicas com nível médio sem formação em TI</c:v>
                </c:pt>
                <c:pt idx="3">
                  <c:v>Funções técnicas com técnicas com nível médio formação em TI</c:v>
                </c:pt>
                <c:pt idx="4">
                  <c:v>Funções técnicas com ensino superior em área diferente de TI</c:v>
                </c:pt>
                <c:pt idx="5">
                  <c:v>Funções técnicas com ensino superior em TI</c:v>
                </c:pt>
                <c:pt idx="6">
                  <c:v>Outros</c:v>
                </c:pt>
              </c:strCache>
            </c:strRef>
          </c:cat>
          <c:val>
            <c:numRef>
              <c:f>0</c:f>
              <c:numCache>
                <c:formatCode>General</c:formatCode>
                <c:ptCount val="7"/>
                <c:pt idx="0">
                  <c:v>0.046</c:v>
                </c:pt>
                <c:pt idx="1">
                  <c:v>0.007</c:v>
                </c:pt>
                <c:pt idx="2">
                  <c:v>0.06</c:v>
                </c:pt>
                <c:pt idx="3">
                  <c:v>0.172</c:v>
                </c:pt>
                <c:pt idx="4">
                  <c:v>0.151</c:v>
                </c:pt>
                <c:pt idx="5">
                  <c:v>0.561</c:v>
                </c:pt>
                <c:pt idx="6">
                  <c:v>0.003</c:v>
                </c:pt>
              </c:numCache>
            </c:numRef>
          </c:val>
        </c:ser>
      </c:pie3DChart>
    </c:plotArea>
    <c:legend>
      <c:legendPos val="r"/>
      <c:overlay val="0"/>
      <c:spPr>
        <a:solidFill>
          <a:srgbClr val="f2f2f2">
            <a:alpha val="39000"/>
          </a:srgbClr>
        </a:solidFill>
        <a:ln>
          <a:noFill/>
        </a:ln>
      </c:spPr>
      <c:txPr>
        <a:bodyPr/>
        <a:lstStyle/>
        <a:p>
          <a:pPr>
            <a:defRPr b="0" sz="7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LibreOffice/6.2.3.2$Windows_X86_64 LibreOffice_project/aecc05fe267cc68dde00352a451aa867b3b546ac</Application>
  <Pages>31</Pages>
  <Words>10512</Words>
  <Characters>58297</Characters>
  <CharactersWithSpaces>68020</CharactersWithSpaces>
  <Paragraphs>925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2019-08-23T19:45:00Z</dcterms:created>
  <dc:creator>Roberto Oliveira</dc:creator>
  <dc:description/>
  <dc:language>pt-BR</dc:language>
  <cp:lastModifiedBy>Roberto Oliveira</cp:lastModifiedBy>
  <dcterms:modified xsi:type="dcterms:W3CDTF">2019-08-24T01:19:00Z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