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63D1B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Acordo Coletivo De Trabalho 2018/2019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PE000349/2018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23/04/2018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MR018221/2018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46213.006782/2018-23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23/04/2018 </w:t>
                        </w:r>
                      </w:p>
                    </w:tc>
                  </w:tr>
                </w:tbl>
                <w:p w:rsidR="00000000" w:rsidRDefault="00F63D1B">
                  <w:pPr>
                    <w:rPr>
                      <w:rFonts w:eastAsia="Times New Roman"/>
                    </w:rPr>
                  </w:pPr>
                </w:p>
                <w:p w:rsidR="00000000" w:rsidRDefault="00F63D1B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F63D1B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63D1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DOS TRABALHADORES EM PROCESSAMENTO DE DADOS, INFORMATICA E TECNOLOGIA DA INFORMACAO DO ESTADO DE PERNAMBUCO, CNPJ n. 10.579.332/0001-26, neste ato representado(a) por seu Presidente, Sr(a). SHEYLA WILMA DE LIMA;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HOTLINK INTERNET LTDA, CNPJ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n. 01.757.239/0001-73, neste ato representado(a) por seu Diretor, Sr(a). AUGUSTO PINHEIRO DIAS FERNANDES;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CLÁUSULA PRIMEIRA - VIGÊN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Acordo Coletivo de Trabalho no período de 01º de abril de 2018 a 31 de março de 2019 e a data-base da categoria em 01º de setembro.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presente Acordo Coletivo de 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dos Trabalhadores em Processamento de Dados, Informática e Tecnologia da Informação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F63D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 Duração, Distribuição,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Prorrogação/Redução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PRORROGAÇÃO DE HORAS - LIMITE DIÁRIO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excesso de horas de trabalho deve respeitar o limite máximo de jornada de 10 (dez) horas, respeitadas a prorrogação máxima de 2 (duas) hora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por dia além da jornada normal, conforme acordo de compensação de horas e nos termos do art. 59 da CLT.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1º – Entre 2 (duas) jornadas de trabalho haverá um período mínimo de 11 (onze) horas consecutivas para o descanso nos termos do art. 66 da CLT.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– Será assegurado a todo empregado um descanso semanal de 24 (vinte e quatro) horas consecutivas, o qual, salvo motivo de conveniência pública ou necessidade imperiosa do serviço, deverá coincidir com 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domingo, no todo ou em parte nos termos do art. 67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CLT, sendo que nestas ocasiões as horas trabalhadas integrarão ao Banco de Horas na forma prevista na cláusula sétima.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DA FORMAÇÃO DO SALDO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horas trabalhadas além das estabelecidas em contrato de trabalho serão creditad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no Banco de Horas do empregado, sendo que o critério de compensação quanto ao efetivo número de horas realizadas será contabilizado na forma discriminada nos parágrafos seguintes da presente cláusula.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1º – As horas trabalhadas, além do limite da jorna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 diária, serão lançadas no Banco de Horas, da seguinte forma: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I. Dias úteis – cada hora trabalhada corresponderá a 01 (uma) hora e 30 (trinta) minutos para compensação no banco; II. Sábados – cada hora trabalhada corresponderá a 1 (uma) hora e 45 (quaren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ta e cinco) minutos para compensação no banco; III. Domingos e feriados – cada hora trabalhada corresponderá a 2 (duas) horas e 45 (quarenta e cinco) minutos para compensação no banco como crédito, não ultrapassando o limite máximo de 30 (trinta) horas tra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balhadas no mês, as quais poderão ser compensadas através de concessão de folgas compensatórias ou, poderá receber uma vez ao ano em comum acordo com a empresa, 50% das horas extras efetuadas no mês acordado.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– Se no mês houver mais de 30 horas trabalhad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além da jornada normal, estas terão que ser pagas como horas extras, respeitando as normas estabelecidas na convenção coletiva.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 – As horas trabalhadas a menor do limite da jornada normal diária, serão lançadas no banco de Horas como débito do empre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gado, as quais poderão ser repostas a critério das partes.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3º – A formação do saldo do banco de horas, disciplinado pelo presente Acordo Coletivo de Trabalho, se dará na medida em que ocorrer o aumento das horas de trabalho em um dia ou período, previame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nte definido e acordado, de maneira que não haja redução salarial, respeitando o limite máximo de 30 (trinta) horas acumuladas no mês, e caso ultrapasse esse limite, as demais horas terão que ser pagas aos funcionários como horas extras, conforme Convenção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Coletiva de Trabalho.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4º – As horas trabalhadas excedentes aos limites previstos nos parágrafos 1º e 3° serão remuneradas com adicional convencional ou legal vigente que for mais benéfico ao empregado, sendo este pagamento efetuado no mês seguinte ao tr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abalho prestado extraordinariamente.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5º – A formação do saldo de banco de horas, aqui regulamentado, será denominado “positivo” – horas a compensar e “negativo” – saldo de horas devedor.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63D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QUINTA - PERÍODO DE VIGÊ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NCIA E COMPENSAÇÃ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BANCO DE HORAS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convencionado que as horas suplementares trabalhadas, serão compensadas, mediante a redução da jornada diária de trabalho ou mediante a concessão de folgas.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1º – A compensação de horas poderá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ser gozada da seguinte forma: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a) folgas adicionais seguidas ao período de férias individuais;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b) folgas individuais negociadas de comum acordo entre o empregado e empregador.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§ 2º – As horas incluídas no Banco de Horas, deverão ser compensadas ou desconta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das no prazo máximo de 3 (três) meses.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3º – O saldo remanescente das horas não compensadas, verificado no final do período ajustado será remunerado com adicional convencional ou legal vigente que for mais benéfico ao empregado.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4º – As horas negativas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serão descontadas do banco de horas na forma de 1 (uma) hora falta por 1 (uma) hora de desconto.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63D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Controle da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DO SISTEMA DE CONTROLE DE JORNADA DE SALDO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Todos os Empregados abrangidos por este Acordo Coletivo de Tra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balho deverão efetuar, individualmente, a marcação no sistema de controle de jornada individual.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§1º – O Registro Eletrônico de Ponto deverá respeitar integralmente o que preceitua a Portaria 1.510, de 21 de agosto de 2009 do MTE.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 – O Registro Eletrôn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ico de Ponto deverá prover as seguintes funcionalidades: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 receber diretamente a identificação do trabalhador, sem interposição de outro equipamento;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b) obter a hora do Relógio em Tempo Real;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c) registrar a marcação de ponto na Memória de Registro de Pont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o; e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d) imprimir o comprovante do trabalhador.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§ 3º – O empregador deverá disponibilizar meios para a emissão obrigatória do Comprovante de Registro de Ponto do Trabalhador no momento de qualquer marcação de ponto.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4º – O saldo de horas credoras será ap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urado pela Empresa, de forma mensal, através do sistema de controle de jornada individual, cujo período de apuração será o primeiro dia ao último dia do mês.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5º – Ao final de cada mês, juntamente ao holerite, os Empregados receberão o relatório “Espelho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Ponto Eletrônico” indicando, além das marcações do ponto do período, a posição do saldo existente do mês trabalhado e dos meses anteriores, devendo estar explícito o saldo do banco de horas, seja positivo ou negativo.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– A empresa deverá disponibilizar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 sindicato, quando este reivindicar, o espelho de ponto dos funcionários, contendo os seus horários de entrada e saída, bem como o saldo das horas do banco, sejam elas positivas ou negativas.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6º – O sistema de relógio eletrônico de ponto e controle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jornada individual ficará a disposição do trabalhador no escritório da empresa da região que trabalha para consulta, juntamente à posição do saldo existente, sendo atribuição da empresa a afixação de relatório mensal e individual de horas acumuladas 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dis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posição de seus Empregados.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7º – Será de total responsabilidade da HOTLINK, o controle e divulgação do Banco de Horas.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8º – Será de total responsabilidade da HOTLINK, a existência válida do “Certificado de conformidade do registro eletrônico de ponto 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legislação” emitido por órgão técnico credenciado e “atestado técnico e termo de responsabilidade”.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9º – Nos termos do art. 13, parágrafo 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nico, da Port. MTB 3.626/91, quando a jornada de trabalho for executada integralmente fora do estabelecimento do empregador, o horário de trabalho constará também de ficha, papeleta ou registro de ponto, que ficará em poder do empregado.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- DAS HORAS EM VIAGENS/DESLOCAMENTOS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horas realizadas em períodos de viagens e deslocamento a trabalho em que excederem a jornada legal serão computadas da mesma forma – 1 (uma) hora trabalhada por 1 (uma) hora.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63D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OITAVA - AFASTAME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NTOS, AUSÊNCIAS E ATRASOS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 caso de afastamento do emprego, em razão do gozo de benefício previdenciário (exceto afastamento por aposentadoria por invalidez), o saldo do BANCO DE HORAS existente no momento do afastamento será congelado até o retorno la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boral do empregado ou conversão do benefício em Aposentadoria por Invalidez.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 afastado do empregado por Aposentadoria por Invalidez fará jus ao recebimento do saldo do BANCO DE HORAS, no prazo de até 60 (sessenta) dias da data em que a empresa 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enha recebido a comunicação da concessão do benefício previdenciário. O pagamento ocorrerá considerando o salário em vigor no mês de pagamento.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63D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ADMISSÃO DE EMPREGADOS NA VIGÊNCIA DO ACORDO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ABRANGÊNCI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presente Acordo Coletivo de Trabalho, aplicável no âmbito da empresa acordante, abrangerá a(s) categoria(s) dos empregados da HOTLINK Internet LTDA, listados no anexo EMPREGADOS INTEGRANTES DO ACORDO.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empregados admitidos na vigência do presente Aco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rdo terão um Termo de Adesão, às suas cláusulas e condições, em separado.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DO OBJETO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acordo tem por objetivo a fixação da jornada de trabalho, mediante redução e supressão do trabalho ou a prorrogação de horas ou acréscimo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dias de trabalho em um ou mais dias da semana, controlado através de um BANCO DE HORAS, considerando as necessidades do serviço e o volume de trabalho conforme livre ajuste entre as partes.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DO 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concederá a todo e qualquer empregado beneficiário deste Acordo, independente do respectivo salário, importância equivalente a 50%(cinquenta por cento) do valor do vale–refeição especificado na CCT, a título de ajuda de custo de alimentação, por dia efet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ivamente trabalhado em jornada prorrogada a partir de 2 (duas) horas diárias, podendo a referida ajuda de custo ser concedida sob forma de tíquete ou similar.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 – A empresa concederá a todo e qualquer empregado beneficiário desse Acordo que 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ealize trabalho aos sábados, domingos e feriados, o equivalente a 1(um) tíquete do valor do vale–refeição especificado no CCT. Em ultrapassando a jornada de 8(oito) horas até o limite de 2(duas) horas, será acrescido mais 50% do valor do respectivo tíquete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DA RESCISÃO DO 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Em caso de despedida com ou sem justa causa, e havendo saldo de horas credoras, as mesmas serão pagas no ato da rescisão contratual. Havendo horas negativas, estas serão abonadas.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Em caso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pedido de demissão e havendo saldo de horas credoras, as mesmas serão pagas no ato da rescisão contratual. Havendo horas negativas, estas poderão ser abonadas.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DAS DISPOSIÇÕES FINAIS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É facultada as partes, respeitada 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disposições legais, resolver as divergências diretamente entre si e/ou por intermédio do Sindicato, que hora homologa o presente Acordo.</w:t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1º – Sem prejuízo do parágrafo anterior, será competente a Justiça do Trabalho para dirimir quaisquer dúvidas, confor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me previsão legal no Art. 613 inciso V da CLT e demais legislações.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MULTA PELO DESCUMPRIMENTO DO ACORDO COLETIVO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Fica estabelecida a multa de 10% (dez por cento) do salá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 contratual do empregado prejudicado, por infração, pelo não cumprimento dos termos do presente Acordo Coletivo de Trabalho.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ACORDO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E, por assim estarem de perfeito acordo, as partes firmam a presente em 2 (duas) vias de ig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ual teor e forma, devendo ser duas delas depositadas junto ao SRTE/PE, para que surtam os seus jurídicos e legais efeitos.</w:t>
                  </w:r>
                </w:p>
                <w:p w:rsidR="00000000" w:rsidRDefault="00F63D1B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63D1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SHEYLA WILMA DE LIMA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TRABALHADORES EM PROCESSAMENTO DE DADOS, INFORMATICA E TECNOLOGIA DA INFORMAC</w:t>
                        </w:r>
                        <w:r>
                          <w:rPr>
                            <w:rFonts w:eastAsia="Times New Roman"/>
                          </w:rPr>
                          <w:t xml:space="preserve">AO DO ESTADO DE PERNAMBUCO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AUGUSTO PINHEIRO DIAS FERNANDES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HOTLINK INTERNET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63D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F63D1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ASSEMBLEIA HOTLINK 28_03_2018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F63D1B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EMPREGADOS INTEGRANTES DO ACORDO HOTLINK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63D1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F63D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F63D1B">
            <w:pPr>
              <w:rPr>
                <w:rFonts w:eastAsia="Times New Roman"/>
              </w:rPr>
            </w:pPr>
          </w:p>
        </w:tc>
      </w:tr>
    </w:tbl>
    <w:p w:rsidR="00F63D1B" w:rsidRDefault="00F63D1B">
      <w:pPr>
        <w:rPr>
          <w:rFonts w:eastAsia="Times New Roman"/>
        </w:rPr>
      </w:pPr>
    </w:p>
    <w:sectPr w:rsidR="00F63D1B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333321"/>
    <w:rsid w:val="00333321"/>
    <w:rsid w:val="00F6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18221_20182018_04_17T11_19_46.pdf" TargetMode="External"/><Relationship Id="rId4" Type="http://schemas.openxmlformats.org/officeDocument/2006/relationships/hyperlink" Target="http://www3.mte.gov.br/sistemas/mediador/imagemAnexo/MR017646_20182018_04_13T14_41_1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IMPRENSA</dc:creator>
  <cp:lastModifiedBy>IMPRENSA</cp:lastModifiedBy>
  <cp:revision>2</cp:revision>
  <dcterms:created xsi:type="dcterms:W3CDTF">2018-05-07T14:07:00Z</dcterms:created>
  <dcterms:modified xsi:type="dcterms:W3CDTF">2018-05-07T14:07:00Z</dcterms:modified>
</cp:coreProperties>
</file>