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6A" w:rsidRPr="00126B78" w:rsidRDefault="00126B78" w:rsidP="00126B78">
      <w:pPr>
        <w:pStyle w:val="Ttulo1"/>
        <w:ind w:firstLine="0"/>
        <w:jc w:val="center"/>
        <w:rPr>
          <w:b/>
        </w:rPr>
      </w:pPr>
      <w:r w:rsidRPr="00126B78">
        <w:rPr>
          <w:b/>
        </w:rPr>
        <w:t xml:space="preserve">INFORMAÇÕES SOBRE </w:t>
      </w:r>
      <w:r w:rsidR="003522F4" w:rsidRPr="00126B78">
        <w:rPr>
          <w:b/>
        </w:rPr>
        <w:t>AÇÕES</w:t>
      </w:r>
      <w:r w:rsidR="003522F4" w:rsidRPr="00126B78">
        <w:rPr>
          <w:b/>
          <w:spacing w:val="-8"/>
        </w:rPr>
        <w:t xml:space="preserve"> </w:t>
      </w:r>
      <w:r w:rsidR="003522F4" w:rsidRPr="00126B78">
        <w:rPr>
          <w:b/>
        </w:rPr>
        <w:t>DO</w:t>
      </w:r>
      <w:r w:rsidR="003522F4" w:rsidRPr="00126B78">
        <w:rPr>
          <w:b/>
          <w:spacing w:val="-10"/>
        </w:rPr>
        <w:t xml:space="preserve"> </w:t>
      </w:r>
      <w:r w:rsidR="003522F4" w:rsidRPr="00126B78">
        <w:rPr>
          <w:b/>
        </w:rPr>
        <w:t>PASEP</w:t>
      </w:r>
    </w:p>
    <w:p w:rsidR="007C6D6A" w:rsidRPr="00126B78" w:rsidRDefault="007C6D6A" w:rsidP="00126B78">
      <w:pPr>
        <w:pStyle w:val="Corpodetexto"/>
        <w:ind w:left="0"/>
        <w:jc w:val="center"/>
        <w:rPr>
          <w:b/>
          <w:sz w:val="24"/>
        </w:rPr>
      </w:pPr>
    </w:p>
    <w:p w:rsidR="007C6D6A" w:rsidRDefault="007C6D6A">
      <w:pPr>
        <w:pStyle w:val="Corpodetexto"/>
        <w:spacing w:before="2"/>
        <w:ind w:left="0"/>
        <w:rPr>
          <w:sz w:val="21"/>
        </w:rPr>
      </w:pPr>
      <w:bookmarkStart w:id="0" w:name="_GoBack"/>
      <w:bookmarkEnd w:id="0"/>
    </w:p>
    <w:p w:rsidR="00374AD7" w:rsidRDefault="00374AD7">
      <w:pPr>
        <w:spacing w:before="160" w:line="259" w:lineRule="auto"/>
        <w:ind w:left="102" w:right="252" w:firstLine="707"/>
        <w:jc w:val="both"/>
        <w:rPr>
          <w:sz w:val="24"/>
        </w:rPr>
      </w:pPr>
      <w:r>
        <w:rPr>
          <w:sz w:val="24"/>
        </w:rPr>
        <w:t>C</w:t>
      </w:r>
      <w:r w:rsidR="00342161">
        <w:rPr>
          <w:sz w:val="24"/>
        </w:rPr>
        <w:t>om a ve</w:t>
      </w:r>
      <w:r w:rsidR="003522F4">
        <w:rPr>
          <w:sz w:val="24"/>
        </w:rPr>
        <w:t>icula</w:t>
      </w:r>
      <w:r w:rsidR="00342161">
        <w:rPr>
          <w:sz w:val="24"/>
        </w:rPr>
        <w:t>ção de notícias</w:t>
      </w:r>
      <w:r w:rsidR="003522F4">
        <w:rPr>
          <w:sz w:val="24"/>
        </w:rPr>
        <w:t xml:space="preserve"> </w:t>
      </w:r>
      <w:r>
        <w:rPr>
          <w:sz w:val="24"/>
        </w:rPr>
        <w:t>na</w:t>
      </w:r>
      <w:r w:rsidR="00342161">
        <w:rPr>
          <w:sz w:val="24"/>
        </w:rPr>
        <w:t>s</w:t>
      </w:r>
      <w:r>
        <w:rPr>
          <w:sz w:val="24"/>
        </w:rPr>
        <w:t xml:space="preserve"> mídia</w:t>
      </w:r>
      <w:r w:rsidR="00342161">
        <w:rPr>
          <w:sz w:val="24"/>
        </w:rPr>
        <w:t>s digitais e escritas</w:t>
      </w:r>
      <w:r>
        <w:rPr>
          <w:sz w:val="24"/>
        </w:rPr>
        <w:t xml:space="preserve">, </w:t>
      </w:r>
      <w:r w:rsidR="003522F4">
        <w:rPr>
          <w:sz w:val="24"/>
        </w:rPr>
        <w:t>decorre</w:t>
      </w:r>
      <w:r>
        <w:rPr>
          <w:sz w:val="24"/>
        </w:rPr>
        <w:t>nte</w:t>
      </w:r>
      <w:r w:rsidR="003522F4">
        <w:rPr>
          <w:sz w:val="24"/>
        </w:rPr>
        <w:t>s de recente decisão do</w:t>
      </w:r>
      <w:r w:rsidR="003522F4">
        <w:rPr>
          <w:spacing w:val="-52"/>
          <w:sz w:val="24"/>
        </w:rPr>
        <w:t xml:space="preserve"> </w:t>
      </w:r>
      <w:r w:rsidR="003522F4">
        <w:rPr>
          <w:sz w:val="24"/>
        </w:rPr>
        <w:t>STJ</w:t>
      </w:r>
      <w:r>
        <w:rPr>
          <w:sz w:val="24"/>
        </w:rPr>
        <w:t xml:space="preserve"> sobre o PASEP, surgiu a necessidade do SINDPD/PE prestar alguns esclarecimentos sobre o tema.</w:t>
      </w:r>
    </w:p>
    <w:p w:rsidR="007C6D6A" w:rsidRDefault="00374AD7">
      <w:pPr>
        <w:spacing w:before="160" w:line="259" w:lineRule="auto"/>
        <w:ind w:left="102" w:right="252" w:firstLine="707"/>
        <w:jc w:val="both"/>
        <w:rPr>
          <w:sz w:val="24"/>
        </w:rPr>
      </w:pPr>
      <w:r>
        <w:rPr>
          <w:sz w:val="24"/>
        </w:rPr>
        <w:t xml:space="preserve">Inicialmente cumpre </w:t>
      </w:r>
      <w:r w:rsidR="003522F4">
        <w:rPr>
          <w:sz w:val="24"/>
        </w:rPr>
        <w:t>mencionar</w:t>
      </w:r>
      <w:r>
        <w:rPr>
          <w:sz w:val="24"/>
        </w:rPr>
        <w:t xml:space="preserve"> que a recente decisão do STF discorreu e definiu sobre </w:t>
      </w:r>
      <w:r w:rsidR="003522F4">
        <w:rPr>
          <w:sz w:val="24"/>
        </w:rPr>
        <w:t>duas</w:t>
      </w:r>
      <w:r w:rsidR="003522F4">
        <w:rPr>
          <w:spacing w:val="-4"/>
          <w:sz w:val="24"/>
        </w:rPr>
        <w:t xml:space="preserve"> </w:t>
      </w:r>
      <w:r w:rsidR="003522F4">
        <w:rPr>
          <w:sz w:val="24"/>
        </w:rPr>
        <w:t>questões</w:t>
      </w:r>
      <w:r>
        <w:rPr>
          <w:sz w:val="24"/>
        </w:rPr>
        <w:t xml:space="preserve"> atinentes as ações que visam o pagamento de diferenças do PASEP, quais sejam</w:t>
      </w:r>
      <w:r w:rsidR="003522F4">
        <w:rPr>
          <w:sz w:val="24"/>
        </w:rPr>
        <w:t>:</w:t>
      </w:r>
      <w:r w:rsidR="003522F4">
        <w:rPr>
          <w:spacing w:val="-3"/>
          <w:sz w:val="24"/>
        </w:rPr>
        <w:t xml:space="preserve"> </w:t>
      </w:r>
      <w:r w:rsidR="003522F4">
        <w:rPr>
          <w:sz w:val="24"/>
        </w:rPr>
        <w:t>A</w:t>
      </w:r>
      <w:r w:rsidR="003522F4">
        <w:rPr>
          <w:spacing w:val="-6"/>
          <w:sz w:val="24"/>
        </w:rPr>
        <w:t xml:space="preserve"> </w:t>
      </w:r>
      <w:r w:rsidR="003522F4">
        <w:rPr>
          <w:sz w:val="24"/>
        </w:rPr>
        <w:t>legitimidade</w:t>
      </w:r>
      <w:r w:rsidR="003522F4">
        <w:rPr>
          <w:spacing w:val="-5"/>
          <w:sz w:val="24"/>
        </w:rPr>
        <w:t xml:space="preserve"> </w:t>
      </w:r>
      <w:r w:rsidR="003522F4">
        <w:rPr>
          <w:sz w:val="24"/>
        </w:rPr>
        <w:t>do</w:t>
      </w:r>
      <w:r w:rsidR="003522F4">
        <w:rPr>
          <w:spacing w:val="-3"/>
          <w:sz w:val="24"/>
        </w:rPr>
        <w:t xml:space="preserve"> </w:t>
      </w:r>
      <w:r w:rsidR="003522F4">
        <w:rPr>
          <w:sz w:val="24"/>
        </w:rPr>
        <w:t>Banco</w:t>
      </w:r>
      <w:r w:rsidR="003522F4">
        <w:rPr>
          <w:spacing w:val="-6"/>
          <w:sz w:val="24"/>
        </w:rPr>
        <w:t xml:space="preserve"> </w:t>
      </w:r>
      <w:r w:rsidR="003522F4">
        <w:rPr>
          <w:sz w:val="24"/>
        </w:rPr>
        <w:t>do</w:t>
      </w:r>
      <w:r w:rsidR="003522F4">
        <w:rPr>
          <w:spacing w:val="-6"/>
          <w:sz w:val="24"/>
        </w:rPr>
        <w:t xml:space="preserve"> </w:t>
      </w:r>
      <w:r w:rsidR="003522F4">
        <w:rPr>
          <w:sz w:val="24"/>
        </w:rPr>
        <w:t>Brasil</w:t>
      </w:r>
      <w:r w:rsidR="003522F4">
        <w:rPr>
          <w:spacing w:val="-2"/>
          <w:sz w:val="24"/>
        </w:rPr>
        <w:t xml:space="preserve"> </w:t>
      </w:r>
      <w:r w:rsidR="003522F4">
        <w:rPr>
          <w:sz w:val="24"/>
        </w:rPr>
        <w:t>para</w:t>
      </w:r>
      <w:r w:rsidR="003522F4">
        <w:rPr>
          <w:spacing w:val="-4"/>
          <w:sz w:val="24"/>
        </w:rPr>
        <w:t xml:space="preserve"> </w:t>
      </w:r>
      <w:r w:rsidR="003522F4">
        <w:rPr>
          <w:sz w:val="24"/>
        </w:rPr>
        <w:t>integrar</w:t>
      </w:r>
      <w:r w:rsidR="003522F4">
        <w:rPr>
          <w:spacing w:val="-5"/>
          <w:sz w:val="24"/>
        </w:rPr>
        <w:t xml:space="preserve"> </w:t>
      </w:r>
      <w:r w:rsidR="003522F4">
        <w:rPr>
          <w:sz w:val="24"/>
        </w:rPr>
        <w:t>a</w:t>
      </w:r>
      <w:r w:rsidR="003522F4">
        <w:rPr>
          <w:spacing w:val="-52"/>
          <w:sz w:val="24"/>
        </w:rPr>
        <w:t xml:space="preserve"> </w:t>
      </w:r>
      <w:r w:rsidR="003522F4">
        <w:rPr>
          <w:sz w:val="24"/>
        </w:rPr>
        <w:t>lide</w:t>
      </w:r>
      <w:r w:rsidR="003522F4">
        <w:rPr>
          <w:spacing w:val="-3"/>
          <w:sz w:val="24"/>
        </w:rPr>
        <w:t xml:space="preserve"> </w:t>
      </w:r>
      <w:r w:rsidR="003522F4">
        <w:rPr>
          <w:sz w:val="24"/>
        </w:rPr>
        <w:t>no</w:t>
      </w:r>
      <w:r w:rsidR="003522F4">
        <w:rPr>
          <w:spacing w:val="-3"/>
          <w:sz w:val="24"/>
        </w:rPr>
        <w:t xml:space="preserve"> </w:t>
      </w:r>
      <w:r w:rsidR="003522F4">
        <w:rPr>
          <w:sz w:val="24"/>
        </w:rPr>
        <w:t>polo</w:t>
      </w:r>
      <w:r w:rsidR="003522F4">
        <w:rPr>
          <w:spacing w:val="-3"/>
          <w:sz w:val="24"/>
        </w:rPr>
        <w:t xml:space="preserve"> </w:t>
      </w:r>
      <w:r w:rsidR="003522F4">
        <w:rPr>
          <w:sz w:val="24"/>
        </w:rPr>
        <w:t>passivo</w:t>
      </w:r>
      <w:r w:rsidR="003522F4">
        <w:rPr>
          <w:spacing w:val="-3"/>
          <w:sz w:val="24"/>
        </w:rPr>
        <w:t xml:space="preserve"> </w:t>
      </w:r>
      <w:r w:rsidR="003522F4">
        <w:rPr>
          <w:sz w:val="24"/>
        </w:rPr>
        <w:t>da</w:t>
      </w:r>
      <w:r w:rsidR="003522F4">
        <w:rPr>
          <w:spacing w:val="-1"/>
          <w:sz w:val="24"/>
        </w:rPr>
        <w:t xml:space="preserve"> </w:t>
      </w:r>
      <w:r w:rsidR="003522F4">
        <w:rPr>
          <w:sz w:val="24"/>
        </w:rPr>
        <w:t>ação</w:t>
      </w:r>
      <w:r w:rsidR="003522F4">
        <w:rPr>
          <w:spacing w:val="-2"/>
          <w:sz w:val="24"/>
        </w:rPr>
        <w:t xml:space="preserve"> </w:t>
      </w:r>
      <w:r w:rsidR="003522F4">
        <w:rPr>
          <w:sz w:val="24"/>
        </w:rPr>
        <w:t>e</w:t>
      </w:r>
      <w:r w:rsidR="003522F4">
        <w:rPr>
          <w:spacing w:val="-1"/>
          <w:sz w:val="24"/>
        </w:rPr>
        <w:t xml:space="preserve"> </w:t>
      </w:r>
      <w:r w:rsidR="003522F4">
        <w:rPr>
          <w:sz w:val="24"/>
        </w:rPr>
        <w:t>o</w:t>
      </w:r>
      <w:r w:rsidR="003522F4">
        <w:rPr>
          <w:spacing w:val="-4"/>
          <w:sz w:val="24"/>
        </w:rPr>
        <w:t xml:space="preserve"> </w:t>
      </w:r>
      <w:r w:rsidR="003522F4">
        <w:rPr>
          <w:sz w:val="24"/>
        </w:rPr>
        <w:t>prazo</w:t>
      </w:r>
      <w:r w:rsidR="003522F4">
        <w:rPr>
          <w:spacing w:val="-3"/>
          <w:sz w:val="24"/>
        </w:rPr>
        <w:t xml:space="preserve"> </w:t>
      </w:r>
      <w:r w:rsidR="003522F4">
        <w:rPr>
          <w:sz w:val="24"/>
        </w:rPr>
        <w:t>prescricional</w:t>
      </w:r>
      <w:r w:rsidR="003522F4">
        <w:rPr>
          <w:spacing w:val="-2"/>
          <w:sz w:val="24"/>
        </w:rPr>
        <w:t xml:space="preserve"> </w:t>
      </w:r>
      <w:r w:rsidR="003522F4">
        <w:rPr>
          <w:sz w:val="24"/>
        </w:rPr>
        <w:t>para</w:t>
      </w:r>
      <w:r w:rsidR="003522F4">
        <w:rPr>
          <w:spacing w:val="-4"/>
          <w:sz w:val="24"/>
        </w:rPr>
        <w:t xml:space="preserve"> </w:t>
      </w:r>
      <w:r w:rsidR="003522F4">
        <w:rPr>
          <w:sz w:val="24"/>
        </w:rPr>
        <w:t>a</w:t>
      </w:r>
      <w:r w:rsidR="003522F4">
        <w:rPr>
          <w:spacing w:val="-4"/>
          <w:sz w:val="24"/>
        </w:rPr>
        <w:t xml:space="preserve"> </w:t>
      </w:r>
      <w:r w:rsidR="003522F4">
        <w:rPr>
          <w:sz w:val="24"/>
        </w:rPr>
        <w:t>propositura</w:t>
      </w:r>
      <w:r w:rsidR="003522F4">
        <w:rPr>
          <w:spacing w:val="-2"/>
          <w:sz w:val="24"/>
        </w:rPr>
        <w:t xml:space="preserve"> </w:t>
      </w:r>
      <w:r w:rsidR="003522F4">
        <w:rPr>
          <w:sz w:val="24"/>
        </w:rPr>
        <w:t>d</w:t>
      </w:r>
      <w:r>
        <w:rPr>
          <w:sz w:val="24"/>
        </w:rPr>
        <w:t>o processo</w:t>
      </w:r>
      <w:r w:rsidR="003522F4">
        <w:rPr>
          <w:sz w:val="24"/>
        </w:rPr>
        <w:t>.</w:t>
      </w:r>
    </w:p>
    <w:p w:rsidR="007C6D6A" w:rsidRDefault="00374AD7">
      <w:pPr>
        <w:pStyle w:val="Corpodetexto"/>
        <w:spacing w:before="160" w:line="259" w:lineRule="auto"/>
        <w:ind w:right="112" w:firstLine="707"/>
        <w:jc w:val="both"/>
      </w:pPr>
      <w:r>
        <w:rPr>
          <w:spacing w:val="-1"/>
          <w:sz w:val="24"/>
        </w:rPr>
        <w:t xml:space="preserve">Dito isto, vejamos abaixo a tese fixada pela </w:t>
      </w:r>
      <w:r w:rsidR="003522F4">
        <w:rPr>
          <w:spacing w:val="-1"/>
        </w:rPr>
        <w:t>Primeira</w:t>
      </w:r>
      <w:r w:rsidR="003522F4">
        <w:rPr>
          <w:spacing w:val="-11"/>
        </w:rPr>
        <w:t xml:space="preserve"> </w:t>
      </w:r>
      <w:r w:rsidR="003522F4">
        <w:rPr>
          <w:spacing w:val="-1"/>
        </w:rPr>
        <w:t>Seção</w:t>
      </w:r>
      <w:r w:rsidR="003522F4">
        <w:rPr>
          <w:spacing w:val="-8"/>
        </w:rPr>
        <w:t xml:space="preserve"> </w:t>
      </w:r>
      <w:r w:rsidR="003522F4">
        <w:rPr>
          <w:spacing w:val="-1"/>
        </w:rPr>
        <w:t>do</w:t>
      </w:r>
      <w:r w:rsidR="003522F4">
        <w:rPr>
          <w:spacing w:val="-9"/>
        </w:rPr>
        <w:t xml:space="preserve"> </w:t>
      </w:r>
      <w:r w:rsidR="003522F4">
        <w:rPr>
          <w:spacing w:val="-1"/>
        </w:rPr>
        <w:t>Superior</w:t>
      </w:r>
      <w:r w:rsidR="003522F4">
        <w:rPr>
          <w:spacing w:val="-9"/>
        </w:rPr>
        <w:t xml:space="preserve"> </w:t>
      </w:r>
      <w:r w:rsidR="003522F4">
        <w:rPr>
          <w:spacing w:val="-1"/>
        </w:rPr>
        <w:t>Tribunal</w:t>
      </w:r>
      <w:r w:rsidR="003522F4">
        <w:rPr>
          <w:spacing w:val="-11"/>
        </w:rPr>
        <w:t xml:space="preserve"> </w:t>
      </w:r>
      <w:r w:rsidR="003522F4">
        <w:rPr>
          <w:spacing w:val="-1"/>
        </w:rPr>
        <w:t>de</w:t>
      </w:r>
      <w:r w:rsidR="003522F4">
        <w:rPr>
          <w:spacing w:val="-9"/>
        </w:rPr>
        <w:t xml:space="preserve"> </w:t>
      </w:r>
      <w:r w:rsidR="003522F4">
        <w:rPr>
          <w:spacing w:val="-1"/>
        </w:rPr>
        <w:t>Justiça</w:t>
      </w:r>
      <w:r w:rsidR="003522F4">
        <w:rPr>
          <w:spacing w:val="-11"/>
        </w:rPr>
        <w:t xml:space="preserve"> </w:t>
      </w:r>
      <w:r w:rsidR="003522F4">
        <w:rPr>
          <w:spacing w:val="-1"/>
        </w:rPr>
        <w:t>(STJ)</w:t>
      </w:r>
      <w:r>
        <w:rPr>
          <w:spacing w:val="-1"/>
        </w:rPr>
        <w:t>,</w:t>
      </w:r>
      <w:r w:rsidR="003522F4">
        <w:rPr>
          <w:spacing w:val="-9"/>
        </w:rPr>
        <w:t xml:space="preserve"> </w:t>
      </w:r>
      <w:r w:rsidR="003522F4">
        <w:rPr>
          <w:spacing w:val="-1"/>
        </w:rPr>
        <w:t>nos</w:t>
      </w:r>
      <w:r w:rsidR="003522F4">
        <w:rPr>
          <w:spacing w:val="-10"/>
        </w:rPr>
        <w:t xml:space="preserve"> </w:t>
      </w:r>
      <w:r w:rsidR="003522F4">
        <w:t>autos</w:t>
      </w:r>
      <w:r w:rsidR="003522F4">
        <w:rPr>
          <w:spacing w:val="-9"/>
        </w:rPr>
        <w:t xml:space="preserve"> </w:t>
      </w:r>
      <w:r w:rsidR="003522F4">
        <w:t>do</w:t>
      </w:r>
      <w:r w:rsidR="003522F4">
        <w:rPr>
          <w:spacing w:val="-9"/>
        </w:rPr>
        <w:t xml:space="preserve"> </w:t>
      </w:r>
      <w:r w:rsidR="003522F4">
        <w:t>Recurso</w:t>
      </w:r>
      <w:r w:rsidR="003522F4">
        <w:rPr>
          <w:spacing w:val="-47"/>
        </w:rPr>
        <w:t xml:space="preserve"> </w:t>
      </w:r>
      <w:r w:rsidR="003522F4">
        <w:t>Especial nº 1.895.936 (Tema Repetitivo nº 1.150):</w:t>
      </w:r>
    </w:p>
    <w:p w:rsidR="0079201E" w:rsidRDefault="00374AD7" w:rsidP="0079201E">
      <w:pPr>
        <w:pStyle w:val="PargrafodaLista"/>
        <w:tabs>
          <w:tab w:val="left" w:pos="1064"/>
        </w:tabs>
        <w:spacing w:before="160" w:line="259" w:lineRule="auto"/>
        <w:ind w:left="809" w:right="120" w:firstLine="0"/>
        <w:rPr>
          <w:rFonts w:ascii="Arial" w:hAnsi="Arial" w:cs="Arial"/>
          <w:i/>
          <w:color w:val="424F54"/>
          <w:sz w:val="20"/>
          <w:szCs w:val="20"/>
          <w:shd w:val="clear" w:color="auto" w:fill="FFFFFF"/>
        </w:rPr>
      </w:pPr>
      <w:r w:rsidRPr="0079201E">
        <w:rPr>
          <w:rFonts w:ascii="Arial" w:hAnsi="Arial" w:cs="Arial"/>
          <w:i/>
          <w:color w:val="424F54"/>
          <w:sz w:val="20"/>
          <w:szCs w:val="20"/>
          <w:shd w:val="clear" w:color="auto" w:fill="FFFFFF"/>
        </w:rPr>
        <w:t xml:space="preserve">i) </w:t>
      </w:r>
      <w:r w:rsidRPr="0079201E">
        <w:rPr>
          <w:rFonts w:ascii="Arial" w:hAnsi="Arial" w:cs="Arial"/>
          <w:b/>
          <w:i/>
          <w:color w:val="424F54"/>
          <w:sz w:val="20"/>
          <w:szCs w:val="20"/>
          <w:shd w:val="clear" w:color="auto" w:fill="FFFFFF"/>
        </w:rPr>
        <w:t>o Banco do Brasil possui legitimidade passiva ad causam para figurar no polo passivo de demanda</w:t>
      </w:r>
      <w:r w:rsidRPr="0079201E">
        <w:rPr>
          <w:rFonts w:ascii="Arial" w:hAnsi="Arial" w:cs="Arial"/>
          <w:i/>
          <w:color w:val="424F54"/>
          <w:sz w:val="20"/>
          <w:szCs w:val="20"/>
          <w:shd w:val="clear" w:color="auto" w:fill="FFFFFF"/>
        </w:rPr>
        <w:t xml:space="preserve"> na qual se discute eventual falha na prestação do serviço quanto a conta vinculada ao Pasep, saques indevidos e desfalques, além da ausência de aplicação dos rendimentos estabelecidas pelo Conselho Diretor do referido programa;</w:t>
      </w:r>
      <w:r w:rsidRPr="0079201E">
        <w:rPr>
          <w:rFonts w:ascii="Arial" w:hAnsi="Arial" w:cs="Arial"/>
          <w:i/>
          <w:color w:val="424F54"/>
          <w:sz w:val="20"/>
          <w:szCs w:val="20"/>
        </w:rPr>
        <w:br/>
      </w:r>
    </w:p>
    <w:p w:rsidR="0079201E" w:rsidRDefault="00374AD7" w:rsidP="0079201E">
      <w:pPr>
        <w:pStyle w:val="PargrafodaLista"/>
        <w:tabs>
          <w:tab w:val="left" w:pos="1064"/>
        </w:tabs>
        <w:spacing w:before="160" w:line="259" w:lineRule="auto"/>
        <w:ind w:left="809" w:right="120" w:firstLine="0"/>
        <w:rPr>
          <w:rFonts w:ascii="Arial" w:hAnsi="Arial" w:cs="Arial"/>
          <w:i/>
          <w:color w:val="424F54"/>
          <w:sz w:val="20"/>
          <w:szCs w:val="20"/>
          <w:shd w:val="clear" w:color="auto" w:fill="FFFFFF"/>
        </w:rPr>
      </w:pPr>
      <w:r w:rsidRPr="0079201E">
        <w:rPr>
          <w:rFonts w:ascii="Arial" w:hAnsi="Arial" w:cs="Arial"/>
          <w:i/>
          <w:color w:val="424F54"/>
          <w:sz w:val="20"/>
          <w:szCs w:val="20"/>
          <w:shd w:val="clear" w:color="auto" w:fill="FFFFFF"/>
        </w:rPr>
        <w:t xml:space="preserve">ii) a pretensão ao ressarcimento dos danos havidos em razão dos desfalques em conta individual vinculada ao Pasep se submete ao </w:t>
      </w:r>
      <w:r w:rsidRPr="0079201E">
        <w:rPr>
          <w:rFonts w:ascii="Arial" w:hAnsi="Arial" w:cs="Arial"/>
          <w:b/>
          <w:i/>
          <w:color w:val="424F54"/>
          <w:sz w:val="20"/>
          <w:szCs w:val="20"/>
          <w:shd w:val="clear" w:color="auto" w:fill="FFFFFF"/>
        </w:rPr>
        <w:t>prazo prescricional decenal</w:t>
      </w:r>
      <w:r w:rsidRPr="0079201E">
        <w:rPr>
          <w:rFonts w:ascii="Arial" w:hAnsi="Arial" w:cs="Arial"/>
          <w:i/>
          <w:color w:val="424F54"/>
          <w:sz w:val="20"/>
          <w:szCs w:val="20"/>
          <w:shd w:val="clear" w:color="auto" w:fill="FFFFFF"/>
        </w:rPr>
        <w:t xml:space="preserve"> previsto pelo artigo 205 do Código Civil; e</w:t>
      </w:r>
      <w:r w:rsidRPr="0079201E">
        <w:rPr>
          <w:rFonts w:ascii="Arial" w:hAnsi="Arial" w:cs="Arial"/>
          <w:i/>
          <w:color w:val="424F54"/>
          <w:sz w:val="20"/>
          <w:szCs w:val="20"/>
        </w:rPr>
        <w:br/>
      </w:r>
    </w:p>
    <w:p w:rsidR="007C6D6A" w:rsidRPr="0079201E" w:rsidRDefault="00374AD7" w:rsidP="0079201E">
      <w:pPr>
        <w:pStyle w:val="PargrafodaLista"/>
        <w:tabs>
          <w:tab w:val="left" w:pos="1064"/>
        </w:tabs>
        <w:spacing w:before="160" w:line="259" w:lineRule="auto"/>
        <w:ind w:left="809" w:right="120" w:firstLine="0"/>
        <w:rPr>
          <w:i/>
        </w:rPr>
      </w:pPr>
      <w:r w:rsidRPr="0079201E">
        <w:rPr>
          <w:rFonts w:ascii="Arial" w:hAnsi="Arial" w:cs="Arial"/>
          <w:i/>
          <w:color w:val="424F54"/>
          <w:sz w:val="20"/>
          <w:szCs w:val="20"/>
          <w:shd w:val="clear" w:color="auto" w:fill="FFFFFF"/>
        </w:rPr>
        <w:t xml:space="preserve">iii) </w:t>
      </w:r>
      <w:r w:rsidRPr="0079201E">
        <w:rPr>
          <w:rFonts w:ascii="Arial" w:hAnsi="Arial" w:cs="Arial"/>
          <w:b/>
          <w:i/>
          <w:color w:val="424F54"/>
          <w:sz w:val="20"/>
          <w:szCs w:val="20"/>
          <w:shd w:val="clear" w:color="auto" w:fill="FFFFFF"/>
        </w:rPr>
        <w:t>o termo inicial para a contagem do prazo prescricional é o dia em que o titular, comprovadamente, toma ciência dos desfalques realizados na conta individual vinculada ao Pasep</w:t>
      </w:r>
      <w:r w:rsidRPr="0079201E">
        <w:rPr>
          <w:rFonts w:ascii="Arial" w:hAnsi="Arial" w:cs="Arial"/>
          <w:i/>
          <w:color w:val="424F54"/>
          <w:sz w:val="20"/>
          <w:szCs w:val="20"/>
          <w:shd w:val="clear" w:color="auto" w:fill="FFFFFF"/>
        </w:rPr>
        <w:t>.</w:t>
      </w:r>
      <w:r w:rsidR="0079201E" w:rsidRPr="0079201E">
        <w:rPr>
          <w:rFonts w:ascii="Arial" w:hAnsi="Arial" w:cs="Arial"/>
          <w:color w:val="424F54"/>
          <w:sz w:val="20"/>
          <w:szCs w:val="20"/>
          <w:shd w:val="clear" w:color="auto" w:fill="FFFFFF"/>
        </w:rPr>
        <w:t xml:space="preserve"> (grifamos)</w:t>
      </w:r>
    </w:p>
    <w:p w:rsidR="00374AD7" w:rsidRPr="0079201E" w:rsidRDefault="00374AD7" w:rsidP="0079201E">
      <w:pPr>
        <w:pStyle w:val="PargrafodaLista"/>
        <w:tabs>
          <w:tab w:val="left" w:pos="1064"/>
        </w:tabs>
        <w:spacing w:before="160" w:line="259" w:lineRule="auto"/>
        <w:ind w:left="809" w:right="120" w:firstLine="0"/>
        <w:rPr>
          <w:i/>
        </w:rPr>
      </w:pPr>
    </w:p>
    <w:p w:rsidR="007C6D6A" w:rsidRDefault="003522F4">
      <w:pPr>
        <w:pStyle w:val="Corpodetexto"/>
        <w:spacing w:before="159" w:line="259" w:lineRule="auto"/>
        <w:ind w:right="116" w:firstLine="707"/>
        <w:jc w:val="both"/>
      </w:pPr>
      <w:r>
        <w:t>É de registrar-se ainda que, ao analisar o caso concreto submetido na referida ação, o</w:t>
      </w:r>
      <w:r>
        <w:rPr>
          <w:spacing w:val="1"/>
        </w:rPr>
        <w:t xml:space="preserve"> </w:t>
      </w:r>
      <w:r>
        <w:t>STJ</w:t>
      </w:r>
      <w:r>
        <w:rPr>
          <w:spacing w:val="-4"/>
        </w:rPr>
        <w:t xml:space="preserve"> </w:t>
      </w:r>
      <w:r>
        <w:t>concluiu</w:t>
      </w:r>
      <w:r>
        <w:rPr>
          <w:spacing w:val="-3"/>
        </w:rPr>
        <w:t xml:space="preserve"> </w:t>
      </w:r>
      <w:r>
        <w:t>que</w:t>
      </w:r>
      <w:r>
        <w:rPr>
          <w:spacing w:val="-2"/>
        </w:rPr>
        <w:t xml:space="preserve"> </w:t>
      </w:r>
      <w:r>
        <w:t>naquela</w:t>
      </w:r>
      <w:r>
        <w:rPr>
          <w:spacing w:val="-4"/>
        </w:rPr>
        <w:t xml:space="preserve"> </w:t>
      </w:r>
      <w:r>
        <w:t>específica</w:t>
      </w:r>
      <w:r>
        <w:rPr>
          <w:spacing w:val="-4"/>
        </w:rPr>
        <w:t xml:space="preserve"> </w:t>
      </w:r>
      <w:r>
        <w:t>situação</w:t>
      </w:r>
      <w:r>
        <w:rPr>
          <w:spacing w:val="-3"/>
        </w:rPr>
        <w:t xml:space="preserve"> </w:t>
      </w:r>
      <w:r>
        <w:t>o</w:t>
      </w:r>
      <w:r>
        <w:rPr>
          <w:spacing w:val="-1"/>
        </w:rPr>
        <w:t xml:space="preserve"> </w:t>
      </w:r>
      <w:r>
        <w:t>Tribunal</w:t>
      </w:r>
      <w:r>
        <w:rPr>
          <w:spacing w:val="-3"/>
        </w:rPr>
        <w:t xml:space="preserve"> </w:t>
      </w:r>
      <w:r>
        <w:t>de</w:t>
      </w:r>
      <w:r>
        <w:rPr>
          <w:spacing w:val="-3"/>
        </w:rPr>
        <w:t xml:space="preserve"> </w:t>
      </w:r>
      <w:r>
        <w:t>origem</w:t>
      </w:r>
      <w:r>
        <w:rPr>
          <w:spacing w:val="-3"/>
        </w:rPr>
        <w:t xml:space="preserve"> </w:t>
      </w:r>
      <w:r>
        <w:t>havia</w:t>
      </w:r>
      <w:r>
        <w:rPr>
          <w:spacing w:val="-4"/>
        </w:rPr>
        <w:t xml:space="preserve"> </w:t>
      </w:r>
      <w:r>
        <w:t>reconhecido</w:t>
      </w:r>
      <w:r>
        <w:rPr>
          <w:spacing w:val="-4"/>
        </w:rPr>
        <w:t xml:space="preserve"> </w:t>
      </w:r>
      <w:r>
        <w:t>o direito</w:t>
      </w:r>
      <w:r>
        <w:rPr>
          <w:spacing w:val="-4"/>
        </w:rPr>
        <w:t xml:space="preserve"> </w:t>
      </w:r>
      <w:r>
        <w:t>à</w:t>
      </w:r>
      <w:r>
        <w:rPr>
          <w:spacing w:val="-47"/>
        </w:rPr>
        <w:t xml:space="preserve"> </w:t>
      </w:r>
      <w:r>
        <w:t>indenização,</w:t>
      </w:r>
      <w:r>
        <w:rPr>
          <w:spacing w:val="1"/>
        </w:rPr>
        <w:t xml:space="preserve"> </w:t>
      </w:r>
      <w:r>
        <w:t>em</w:t>
      </w:r>
      <w:r>
        <w:rPr>
          <w:spacing w:val="1"/>
        </w:rPr>
        <w:t xml:space="preserve"> </w:t>
      </w:r>
      <w:r>
        <w:t>favor</w:t>
      </w:r>
      <w:r>
        <w:rPr>
          <w:spacing w:val="1"/>
        </w:rPr>
        <w:t xml:space="preserve"> </w:t>
      </w:r>
      <w:r>
        <w:t>do</w:t>
      </w:r>
      <w:r>
        <w:rPr>
          <w:spacing w:val="1"/>
        </w:rPr>
        <w:t xml:space="preserve"> </w:t>
      </w:r>
      <w:r w:rsidR="0079201E">
        <w:rPr>
          <w:spacing w:val="1"/>
        </w:rPr>
        <w:t>autor</w:t>
      </w:r>
      <w:r>
        <w:t>,</w:t>
      </w:r>
      <w:r>
        <w:rPr>
          <w:spacing w:val="1"/>
        </w:rPr>
        <w:t xml:space="preserve"> </w:t>
      </w:r>
      <w:r>
        <w:t>a</w:t>
      </w:r>
      <w:r>
        <w:rPr>
          <w:spacing w:val="1"/>
        </w:rPr>
        <w:t xml:space="preserve"> </w:t>
      </w:r>
      <w:r>
        <w:t>partir</w:t>
      </w:r>
      <w:r>
        <w:rPr>
          <w:spacing w:val="1"/>
        </w:rPr>
        <w:t xml:space="preserve"> </w:t>
      </w:r>
      <w:r>
        <w:t>das</w:t>
      </w:r>
      <w:r>
        <w:rPr>
          <w:spacing w:val="1"/>
        </w:rPr>
        <w:t xml:space="preserve"> </w:t>
      </w:r>
      <w:r>
        <w:t>provas</w:t>
      </w:r>
      <w:r>
        <w:rPr>
          <w:spacing w:val="1"/>
        </w:rPr>
        <w:t xml:space="preserve"> </w:t>
      </w:r>
      <w:r>
        <w:t>por</w:t>
      </w:r>
      <w:r>
        <w:rPr>
          <w:spacing w:val="1"/>
        </w:rPr>
        <w:t xml:space="preserve"> </w:t>
      </w:r>
      <w:r>
        <w:t>ele</w:t>
      </w:r>
      <w:r>
        <w:rPr>
          <w:spacing w:val="1"/>
        </w:rPr>
        <w:t xml:space="preserve"> </w:t>
      </w:r>
      <w:r>
        <w:t>produzidas</w:t>
      </w:r>
      <w:r>
        <w:rPr>
          <w:spacing w:val="1"/>
        </w:rPr>
        <w:t xml:space="preserve"> </w:t>
      </w:r>
      <w:r>
        <w:t>nos</w:t>
      </w:r>
      <w:r>
        <w:rPr>
          <w:spacing w:val="1"/>
        </w:rPr>
        <w:t xml:space="preserve"> </w:t>
      </w:r>
      <w:r>
        <w:t>autos</w:t>
      </w:r>
      <w:r>
        <w:rPr>
          <w:spacing w:val="1"/>
        </w:rPr>
        <w:t xml:space="preserve"> </w:t>
      </w:r>
      <w:r>
        <w:t>originários, daí decorrendo a conclusão, do Tribunal de origem, de que o Banco do Brasil teria</w:t>
      </w:r>
      <w:r>
        <w:rPr>
          <w:spacing w:val="1"/>
        </w:rPr>
        <w:t xml:space="preserve"> </w:t>
      </w:r>
      <w:r>
        <w:t xml:space="preserve">falhado na sua obrigação de bem gerir a conta em questão. </w:t>
      </w:r>
    </w:p>
    <w:p w:rsidR="007C6D6A" w:rsidRDefault="003522F4" w:rsidP="0079201E">
      <w:pPr>
        <w:pStyle w:val="Corpodetexto"/>
        <w:spacing w:before="159" w:line="259" w:lineRule="auto"/>
        <w:ind w:right="112" w:firstLine="707"/>
        <w:jc w:val="both"/>
      </w:pPr>
      <w:r>
        <w:t>Ou</w:t>
      </w:r>
      <w:r>
        <w:rPr>
          <w:spacing w:val="-3"/>
        </w:rPr>
        <w:t xml:space="preserve"> </w:t>
      </w:r>
      <w:r>
        <w:t>seja,</w:t>
      </w:r>
      <w:r>
        <w:rPr>
          <w:spacing w:val="-3"/>
        </w:rPr>
        <w:t xml:space="preserve"> </w:t>
      </w:r>
      <w:r>
        <w:t>do</w:t>
      </w:r>
      <w:r>
        <w:rPr>
          <w:spacing w:val="-5"/>
        </w:rPr>
        <w:t xml:space="preserve"> </w:t>
      </w:r>
      <w:r>
        <w:t>teor</w:t>
      </w:r>
      <w:r>
        <w:rPr>
          <w:spacing w:val="-6"/>
        </w:rPr>
        <w:t xml:space="preserve"> </w:t>
      </w:r>
      <w:r>
        <w:t>da</w:t>
      </w:r>
      <w:r>
        <w:rPr>
          <w:spacing w:val="-3"/>
        </w:rPr>
        <w:t xml:space="preserve"> </w:t>
      </w:r>
      <w:r>
        <w:t>decisão</w:t>
      </w:r>
      <w:r>
        <w:rPr>
          <w:spacing w:val="-5"/>
        </w:rPr>
        <w:t xml:space="preserve"> </w:t>
      </w:r>
      <w:r>
        <w:t>que</w:t>
      </w:r>
      <w:r>
        <w:rPr>
          <w:spacing w:val="-5"/>
        </w:rPr>
        <w:t xml:space="preserve"> </w:t>
      </w:r>
      <w:r>
        <w:t>originou</w:t>
      </w:r>
      <w:r>
        <w:rPr>
          <w:spacing w:val="-6"/>
        </w:rPr>
        <w:t xml:space="preserve"> </w:t>
      </w:r>
      <w:r>
        <w:t>o</w:t>
      </w:r>
      <w:r>
        <w:rPr>
          <w:spacing w:val="-4"/>
        </w:rPr>
        <w:t xml:space="preserve"> </w:t>
      </w:r>
      <w:r>
        <w:t>Repetitivo</w:t>
      </w:r>
      <w:r>
        <w:rPr>
          <w:spacing w:val="-5"/>
        </w:rPr>
        <w:t xml:space="preserve"> </w:t>
      </w:r>
      <w:r>
        <w:t>nº</w:t>
      </w:r>
      <w:r>
        <w:rPr>
          <w:spacing w:val="-3"/>
        </w:rPr>
        <w:t xml:space="preserve"> </w:t>
      </w:r>
      <w:r>
        <w:t>1.150,</w:t>
      </w:r>
      <w:r>
        <w:rPr>
          <w:spacing w:val="-5"/>
        </w:rPr>
        <w:t xml:space="preserve"> </w:t>
      </w:r>
      <w:r>
        <w:t>verifica-se</w:t>
      </w:r>
      <w:r>
        <w:rPr>
          <w:spacing w:val="-2"/>
        </w:rPr>
        <w:t xml:space="preserve"> </w:t>
      </w:r>
      <w:r>
        <w:t>que</w:t>
      </w:r>
      <w:r>
        <w:rPr>
          <w:spacing w:val="-6"/>
        </w:rPr>
        <w:t xml:space="preserve"> </w:t>
      </w:r>
      <w:r>
        <w:t>o</w:t>
      </w:r>
      <w:r>
        <w:rPr>
          <w:spacing w:val="-6"/>
        </w:rPr>
        <w:t xml:space="preserve"> </w:t>
      </w:r>
      <w:r>
        <w:t>STJ</w:t>
      </w:r>
      <w:r>
        <w:rPr>
          <w:spacing w:val="-4"/>
        </w:rPr>
        <w:t xml:space="preserve"> </w:t>
      </w:r>
      <w:r>
        <w:t>não</w:t>
      </w:r>
      <w:r>
        <w:rPr>
          <w:spacing w:val="-47"/>
        </w:rPr>
        <w:t xml:space="preserve"> </w:t>
      </w:r>
      <w:r>
        <w:rPr>
          <w:spacing w:val="-1"/>
        </w:rPr>
        <w:t>chegou</w:t>
      </w:r>
      <w:r>
        <w:rPr>
          <w:spacing w:val="-13"/>
        </w:rPr>
        <w:t xml:space="preserve"> </w:t>
      </w:r>
      <w:r>
        <w:rPr>
          <w:spacing w:val="-1"/>
        </w:rPr>
        <w:t>a</w:t>
      </w:r>
      <w:r>
        <w:rPr>
          <w:spacing w:val="-12"/>
        </w:rPr>
        <w:t xml:space="preserve"> </w:t>
      </w:r>
      <w:r>
        <w:rPr>
          <w:spacing w:val="-1"/>
        </w:rPr>
        <w:t>a</w:t>
      </w:r>
      <w:r w:rsidR="0079201E">
        <w:rPr>
          <w:spacing w:val="-1"/>
        </w:rPr>
        <w:t>dentrar no</w:t>
      </w:r>
      <w:r>
        <w:rPr>
          <w:spacing w:val="-11"/>
        </w:rPr>
        <w:t xml:space="preserve"> </w:t>
      </w:r>
      <w:r>
        <w:rPr>
          <w:spacing w:val="-1"/>
        </w:rPr>
        <w:t>mérito</w:t>
      </w:r>
      <w:r>
        <w:rPr>
          <w:spacing w:val="-13"/>
        </w:rPr>
        <w:t xml:space="preserve"> </w:t>
      </w:r>
      <w:r>
        <w:rPr>
          <w:spacing w:val="-1"/>
        </w:rPr>
        <w:t>do</w:t>
      </w:r>
      <w:r>
        <w:rPr>
          <w:spacing w:val="-11"/>
        </w:rPr>
        <w:t xml:space="preserve"> </w:t>
      </w:r>
      <w:r>
        <w:rPr>
          <w:spacing w:val="-1"/>
        </w:rPr>
        <w:t>pedido</w:t>
      </w:r>
      <w:r>
        <w:rPr>
          <w:spacing w:val="-13"/>
        </w:rPr>
        <w:t xml:space="preserve"> </w:t>
      </w:r>
      <w:r>
        <w:rPr>
          <w:spacing w:val="-1"/>
        </w:rPr>
        <w:t>de</w:t>
      </w:r>
      <w:r>
        <w:rPr>
          <w:spacing w:val="-10"/>
        </w:rPr>
        <w:t xml:space="preserve"> </w:t>
      </w:r>
      <w:r>
        <w:rPr>
          <w:spacing w:val="-1"/>
        </w:rPr>
        <w:t>indenização</w:t>
      </w:r>
      <w:r>
        <w:rPr>
          <w:spacing w:val="-13"/>
        </w:rPr>
        <w:t xml:space="preserve"> </w:t>
      </w:r>
      <w:r>
        <w:rPr>
          <w:spacing w:val="-1"/>
        </w:rPr>
        <w:t>movido</w:t>
      </w:r>
      <w:r>
        <w:rPr>
          <w:spacing w:val="-11"/>
        </w:rPr>
        <w:t xml:space="preserve"> </w:t>
      </w:r>
      <w:r>
        <w:t>contra</w:t>
      </w:r>
      <w:r>
        <w:rPr>
          <w:spacing w:val="-14"/>
        </w:rPr>
        <w:t xml:space="preserve"> </w:t>
      </w:r>
      <w:r>
        <w:t>o</w:t>
      </w:r>
      <w:r>
        <w:rPr>
          <w:spacing w:val="-11"/>
        </w:rPr>
        <w:t xml:space="preserve"> </w:t>
      </w:r>
      <w:r>
        <w:t>Banco</w:t>
      </w:r>
      <w:r>
        <w:rPr>
          <w:spacing w:val="-11"/>
        </w:rPr>
        <w:t xml:space="preserve"> </w:t>
      </w:r>
      <w:r>
        <w:t>do</w:t>
      </w:r>
      <w:r>
        <w:rPr>
          <w:spacing w:val="-13"/>
        </w:rPr>
        <w:t xml:space="preserve"> </w:t>
      </w:r>
      <w:r>
        <w:t>Brasil,</w:t>
      </w:r>
      <w:r>
        <w:rPr>
          <w:spacing w:val="-12"/>
        </w:rPr>
        <w:t xml:space="preserve"> </w:t>
      </w:r>
      <w:r>
        <w:t>limitando-</w:t>
      </w:r>
      <w:r>
        <w:rPr>
          <w:spacing w:val="-47"/>
        </w:rPr>
        <w:t xml:space="preserve"> </w:t>
      </w:r>
      <w:r>
        <w:t>se a manter a decisão do Tribunal de origem em razão de uma questão meramente processual</w:t>
      </w:r>
      <w:r w:rsidR="0079201E">
        <w:t xml:space="preserve">. Dessa forma, a a propositura de ações judiciais </w:t>
      </w:r>
      <w:r>
        <w:t>continua exigindo os mesmos cuidados</w:t>
      </w:r>
      <w:r w:rsidR="0079201E">
        <w:t>:</w:t>
      </w:r>
      <w:r>
        <w:rPr>
          <w:spacing w:val="-10"/>
        </w:rPr>
        <w:t xml:space="preserve"> </w:t>
      </w:r>
      <w:r w:rsidR="0079201E">
        <w:rPr>
          <w:spacing w:val="-10"/>
        </w:rPr>
        <w:t xml:space="preserve"> busca do extrato junto ao Banco do Brasil e análise prévio do extrato por perito contábil com experiência no referido serviço</w:t>
      </w:r>
      <w:r>
        <w:t>.</w:t>
      </w:r>
    </w:p>
    <w:p w:rsidR="007C6D6A" w:rsidRDefault="0079201E">
      <w:pPr>
        <w:pStyle w:val="Corpodetexto"/>
        <w:spacing w:before="159" w:line="259" w:lineRule="auto"/>
        <w:ind w:right="115" w:firstLine="707"/>
        <w:jc w:val="both"/>
      </w:pPr>
      <w:r>
        <w:t>Portanto, há de se ter cautela no ingresso das referidas ações, uma vez que são propostas na Justiça Comum do Estado, onde há necessidade de pagamento prévio de custas processuais que serão calculadas com base no valor da ação. Referidas custas são bem onerosas, daí o cuidado no momento da contratação do perito contábil e advogado para ingresso da demanda</w:t>
      </w:r>
      <w:r w:rsidR="003522F4">
        <w:t>.</w:t>
      </w:r>
      <w:r>
        <w:t xml:space="preserve"> A isenção no pagamento das custas se dará para aquelas pessoas que cumprirem requisitos para deferimento da Justiça Gratuita.</w:t>
      </w:r>
    </w:p>
    <w:p w:rsidR="00126B78" w:rsidRDefault="0079201E">
      <w:pPr>
        <w:pStyle w:val="Corpodetexto"/>
        <w:spacing w:before="158" w:line="259" w:lineRule="auto"/>
        <w:ind w:right="117" w:firstLine="707"/>
        <w:jc w:val="both"/>
      </w:pPr>
      <w:r>
        <w:t xml:space="preserve">O custo do perito contábil cabe ao interessado na propositura da demanda e referidos cálculos </w:t>
      </w:r>
      <w:r w:rsidR="00126B78">
        <w:t>estão sendo realizados, em  média, em valor de R$ 1.000,00 (um mil reais).</w:t>
      </w:r>
    </w:p>
    <w:p w:rsidR="00126B78" w:rsidRDefault="00126B78" w:rsidP="00126B78">
      <w:pPr>
        <w:pStyle w:val="Corpodetexto"/>
        <w:spacing w:before="159" w:line="259" w:lineRule="auto"/>
        <w:ind w:right="115" w:firstLine="707"/>
        <w:jc w:val="both"/>
      </w:pPr>
      <w:r>
        <w:t xml:space="preserve">O ideal seria aguardar um pouco mais até que a jurisprudência sobre o mérito da questão esteja melhor consolidada, bem assim que a metodologia de cálculos das diferenças do </w:t>
      </w:r>
      <w:r>
        <w:lastRenderedPageBreak/>
        <w:t xml:space="preserve">PASEP seja de igual modo consolidada, uma vez que nas ações já </w:t>
      </w:r>
      <w:r w:rsidR="003522F4">
        <w:t xml:space="preserve">anteiromente </w:t>
      </w:r>
      <w:r>
        <w:t>ajuizadas tem havido muita discrepância nos cálculos apresentados pelas partes e pelo perito judicial.</w:t>
      </w:r>
    </w:p>
    <w:p w:rsidR="00126B78" w:rsidRDefault="00126B78">
      <w:pPr>
        <w:pStyle w:val="Corpodetexto"/>
        <w:spacing w:before="158" w:line="259" w:lineRule="auto"/>
        <w:ind w:right="117" w:firstLine="707"/>
        <w:jc w:val="both"/>
      </w:pPr>
      <w:r>
        <w:t>Esclareça-se, por fim, que a referida ação não se trata de ação trabalhista, razão pela qual não está coberta pelo contrato de prestação de serviços celebrado com o escritório que atende às demandas do SINDPD/PE. A assessoria jurídica poderá, no entanto, prestar orientações sobre o tema e indicar advogados como sugestão para contratação</w:t>
      </w:r>
      <w:r w:rsidR="003522F4">
        <w:t>, ficando a critério do trabalhador a escolha pelo profissional que irá ingressar com sua ação judicial</w:t>
      </w:r>
      <w:r>
        <w:t>.</w:t>
      </w:r>
    </w:p>
    <w:p w:rsidR="007C6D6A" w:rsidRDefault="007C6D6A">
      <w:pPr>
        <w:pStyle w:val="Corpodetexto"/>
        <w:spacing w:before="12"/>
        <w:ind w:left="0"/>
        <w:rPr>
          <w:sz w:val="27"/>
        </w:rPr>
      </w:pPr>
    </w:p>
    <w:p w:rsidR="007C6D6A" w:rsidRDefault="007C6D6A">
      <w:pPr>
        <w:pStyle w:val="Corpodetexto"/>
        <w:ind w:left="0"/>
      </w:pPr>
    </w:p>
    <w:p w:rsidR="007C6D6A" w:rsidRDefault="007C6D6A">
      <w:pPr>
        <w:pStyle w:val="Corpodetexto"/>
        <w:spacing w:before="9"/>
        <w:ind w:left="0"/>
        <w:rPr>
          <w:sz w:val="29"/>
        </w:rPr>
      </w:pPr>
    </w:p>
    <w:sectPr w:rsidR="007C6D6A">
      <w:pgSz w:w="11910" w:h="16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B1EE8"/>
    <w:multiLevelType w:val="hybridMultilevel"/>
    <w:tmpl w:val="C1FA17BC"/>
    <w:lvl w:ilvl="0" w:tplc="F25EA9EC">
      <w:start w:val="1"/>
      <w:numFmt w:val="decimal"/>
      <w:lvlText w:val="%1."/>
      <w:lvlJc w:val="left"/>
      <w:pPr>
        <w:ind w:left="102" w:hanging="221"/>
      </w:pPr>
      <w:rPr>
        <w:rFonts w:ascii="Calibri" w:eastAsia="Calibri" w:hAnsi="Calibri" w:cs="Calibri" w:hint="default"/>
        <w:w w:val="100"/>
        <w:sz w:val="22"/>
        <w:szCs w:val="22"/>
        <w:lang w:val="pt-PT" w:eastAsia="en-US" w:bidi="ar-SA"/>
      </w:rPr>
    </w:lvl>
    <w:lvl w:ilvl="1" w:tplc="6346EE32">
      <w:numFmt w:val="bullet"/>
      <w:lvlText w:val="•"/>
      <w:lvlJc w:val="left"/>
      <w:pPr>
        <w:ind w:left="962" w:hanging="221"/>
      </w:pPr>
      <w:rPr>
        <w:rFonts w:hint="default"/>
        <w:lang w:val="pt-PT" w:eastAsia="en-US" w:bidi="ar-SA"/>
      </w:rPr>
    </w:lvl>
    <w:lvl w:ilvl="2" w:tplc="942AA606">
      <w:numFmt w:val="bullet"/>
      <w:lvlText w:val="•"/>
      <w:lvlJc w:val="left"/>
      <w:pPr>
        <w:ind w:left="1825" w:hanging="221"/>
      </w:pPr>
      <w:rPr>
        <w:rFonts w:hint="default"/>
        <w:lang w:val="pt-PT" w:eastAsia="en-US" w:bidi="ar-SA"/>
      </w:rPr>
    </w:lvl>
    <w:lvl w:ilvl="3" w:tplc="E2E060D2">
      <w:numFmt w:val="bullet"/>
      <w:lvlText w:val="•"/>
      <w:lvlJc w:val="left"/>
      <w:pPr>
        <w:ind w:left="2687" w:hanging="221"/>
      </w:pPr>
      <w:rPr>
        <w:rFonts w:hint="default"/>
        <w:lang w:val="pt-PT" w:eastAsia="en-US" w:bidi="ar-SA"/>
      </w:rPr>
    </w:lvl>
    <w:lvl w:ilvl="4" w:tplc="ADCC0F24">
      <w:numFmt w:val="bullet"/>
      <w:lvlText w:val="•"/>
      <w:lvlJc w:val="left"/>
      <w:pPr>
        <w:ind w:left="3550" w:hanging="221"/>
      </w:pPr>
      <w:rPr>
        <w:rFonts w:hint="default"/>
        <w:lang w:val="pt-PT" w:eastAsia="en-US" w:bidi="ar-SA"/>
      </w:rPr>
    </w:lvl>
    <w:lvl w:ilvl="5" w:tplc="2C00724E">
      <w:numFmt w:val="bullet"/>
      <w:lvlText w:val="•"/>
      <w:lvlJc w:val="left"/>
      <w:pPr>
        <w:ind w:left="4413" w:hanging="221"/>
      </w:pPr>
      <w:rPr>
        <w:rFonts w:hint="default"/>
        <w:lang w:val="pt-PT" w:eastAsia="en-US" w:bidi="ar-SA"/>
      </w:rPr>
    </w:lvl>
    <w:lvl w:ilvl="6" w:tplc="7A347EA0">
      <w:numFmt w:val="bullet"/>
      <w:lvlText w:val="•"/>
      <w:lvlJc w:val="left"/>
      <w:pPr>
        <w:ind w:left="5275" w:hanging="221"/>
      </w:pPr>
      <w:rPr>
        <w:rFonts w:hint="default"/>
        <w:lang w:val="pt-PT" w:eastAsia="en-US" w:bidi="ar-SA"/>
      </w:rPr>
    </w:lvl>
    <w:lvl w:ilvl="7" w:tplc="2CB8F14A">
      <w:numFmt w:val="bullet"/>
      <w:lvlText w:val="•"/>
      <w:lvlJc w:val="left"/>
      <w:pPr>
        <w:ind w:left="6138" w:hanging="221"/>
      </w:pPr>
      <w:rPr>
        <w:rFonts w:hint="default"/>
        <w:lang w:val="pt-PT" w:eastAsia="en-US" w:bidi="ar-SA"/>
      </w:rPr>
    </w:lvl>
    <w:lvl w:ilvl="8" w:tplc="63E85BB0">
      <w:numFmt w:val="bullet"/>
      <w:lvlText w:val="•"/>
      <w:lvlJc w:val="left"/>
      <w:pPr>
        <w:ind w:left="7001" w:hanging="221"/>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6A"/>
    <w:rsid w:val="00126B78"/>
    <w:rsid w:val="00342161"/>
    <w:rsid w:val="003522F4"/>
    <w:rsid w:val="00374AD7"/>
    <w:rsid w:val="0079201E"/>
    <w:rsid w:val="007C6D6A"/>
    <w:rsid w:val="008351D4"/>
    <w:rsid w:val="00D036D3"/>
    <w:rsid w:val="00F95B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CEA9F-37C0-47BA-A2DD-BD4A326C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before="37"/>
      <w:ind w:left="102" w:firstLine="707"/>
      <w:jc w:val="both"/>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style>
  <w:style w:type="paragraph" w:styleId="PargrafodaLista">
    <w:name w:val="List Paragraph"/>
    <w:basedOn w:val="Normal"/>
    <w:uiPriority w:val="1"/>
    <w:qFormat/>
    <w:pPr>
      <w:spacing w:before="158"/>
      <w:ind w:left="102" w:right="114"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Simonne</cp:lastModifiedBy>
  <cp:revision>3</cp:revision>
  <dcterms:created xsi:type="dcterms:W3CDTF">2023-11-06T12:34:00Z</dcterms:created>
  <dcterms:modified xsi:type="dcterms:W3CDTF">2023-11-06T12:35:00Z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2019</vt:lpwstr>
  </property>
  <property fmtid="{D5CDD505-2E9C-101B-9397-08002B2CF9AE}" pid="4" name="LastSaved">
    <vt:filetime>2023-10-24T00:00:00Z</vt:filetime>
  </property>
</Properties>
</file>